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AC00D" w14:textId="77777777" w:rsidR="00FF22CA" w:rsidRDefault="00FF22CA" w:rsidP="00F57570">
      <w:pPr>
        <w:rPr>
          <w:rFonts w:ascii="Calibri" w:hAnsi="Calibri" w:cs="Calibri"/>
          <w:b/>
          <w:bCs/>
        </w:rPr>
      </w:pPr>
    </w:p>
    <w:p w14:paraId="2EA4BE09" w14:textId="0488B6BC" w:rsidR="002367EC" w:rsidRPr="007A244C" w:rsidRDefault="007B1874" w:rsidP="007B1874">
      <w:pPr>
        <w:jc w:val="center"/>
        <w:rPr>
          <w:rFonts w:ascii="Calibri" w:hAnsi="Calibri" w:cs="Calibri"/>
          <w:b/>
          <w:bCs/>
        </w:rPr>
      </w:pPr>
      <w:r w:rsidRPr="007A244C">
        <w:rPr>
          <w:rFonts w:ascii="Calibri" w:hAnsi="Calibri" w:cs="Calibri"/>
          <w:b/>
          <w:bCs/>
        </w:rPr>
        <w:t>The world's 10 best destinations for digital nomads revealed</w:t>
      </w:r>
    </w:p>
    <w:p w14:paraId="52AFBCA5" w14:textId="77777777" w:rsidR="007B1874" w:rsidRDefault="007B1874" w:rsidP="00F57570">
      <w:pPr>
        <w:rPr>
          <w:rFonts w:ascii="Calibri" w:hAnsi="Calibri" w:cs="Calibri"/>
          <w:b/>
          <w:bCs/>
          <w:i/>
          <w:iCs/>
          <w:sz w:val="22"/>
          <w:szCs w:val="22"/>
        </w:rPr>
      </w:pPr>
    </w:p>
    <w:p w14:paraId="735E3331" w14:textId="1F388E37" w:rsidR="009F36D1" w:rsidRDefault="00E706CE" w:rsidP="00F57570">
      <w:pPr>
        <w:rPr>
          <w:rFonts w:ascii="Calibri" w:hAnsi="Calibri" w:cs="Calibri"/>
          <w:b/>
          <w:bCs/>
          <w:i/>
          <w:iCs/>
          <w:sz w:val="22"/>
          <w:szCs w:val="22"/>
        </w:rPr>
      </w:pPr>
      <w:r w:rsidRPr="00E706CE">
        <w:rPr>
          <w:rFonts w:ascii="Calibri" w:hAnsi="Calibri" w:cs="Calibri"/>
          <w:b/>
          <w:bCs/>
          <w:i/>
          <w:iCs/>
          <w:sz w:val="22"/>
          <w:szCs w:val="22"/>
        </w:rPr>
        <w:t>From Mediterranean coastlines to tropical beaches: Best destinations for digital nomads ranked</w:t>
      </w:r>
      <w:r>
        <w:rPr>
          <w:rFonts w:ascii="Calibri" w:hAnsi="Calibri" w:cs="Calibri"/>
          <w:b/>
          <w:bCs/>
          <w:i/>
          <w:iCs/>
          <w:sz w:val="22"/>
          <w:szCs w:val="22"/>
        </w:rPr>
        <w:t xml:space="preserve"> in new study.</w:t>
      </w:r>
    </w:p>
    <w:p w14:paraId="03333CAF" w14:textId="77777777" w:rsidR="00E706CE" w:rsidRDefault="00E706CE" w:rsidP="00F57570">
      <w:pPr>
        <w:rPr>
          <w:rFonts w:ascii="Calibri" w:hAnsi="Calibri" w:cs="Calibri"/>
          <w:b/>
          <w:bCs/>
          <w:i/>
          <w:iCs/>
          <w:sz w:val="22"/>
          <w:szCs w:val="22"/>
        </w:rPr>
      </w:pPr>
    </w:p>
    <w:p w14:paraId="6D439AFA" w14:textId="77777777" w:rsidR="009A165F" w:rsidRDefault="004A0D42" w:rsidP="009A165F">
      <w:pPr>
        <w:rPr>
          <w:rFonts w:ascii="Calibri" w:hAnsi="Calibri" w:cs="Calibri"/>
          <w:sz w:val="22"/>
          <w:szCs w:val="22"/>
        </w:rPr>
      </w:pPr>
      <w:r>
        <w:rPr>
          <w:rFonts w:ascii="Calibri" w:hAnsi="Calibri" w:cs="Calibri"/>
          <w:sz w:val="22"/>
          <w:szCs w:val="22"/>
        </w:rPr>
        <w:t xml:space="preserve">Around </w:t>
      </w:r>
      <w:hyperlink r:id="rId5" w:history="1">
        <w:r w:rsidRPr="00A626E9">
          <w:rPr>
            <w:rStyle w:val="Hyperlink"/>
            <w:rFonts w:ascii="Calibri" w:hAnsi="Calibri" w:cs="Calibri"/>
            <w:color w:val="auto"/>
            <w:sz w:val="22"/>
            <w:szCs w:val="22"/>
          </w:rPr>
          <w:t>165,000 British citizens</w:t>
        </w:r>
      </w:hyperlink>
      <w:r w:rsidRPr="00A626E9">
        <w:rPr>
          <w:rFonts w:ascii="Calibri" w:hAnsi="Calibri" w:cs="Calibri"/>
          <w:sz w:val="22"/>
          <w:szCs w:val="22"/>
        </w:rPr>
        <w:t xml:space="preserve"> </w:t>
      </w:r>
      <w:r>
        <w:rPr>
          <w:rFonts w:ascii="Calibri" w:hAnsi="Calibri" w:cs="Calibri"/>
          <w:sz w:val="22"/>
          <w:szCs w:val="22"/>
        </w:rPr>
        <w:t>now live a</w:t>
      </w:r>
      <w:r w:rsidR="005C3499">
        <w:rPr>
          <w:rFonts w:ascii="Calibri" w:hAnsi="Calibri" w:cs="Calibri"/>
          <w:sz w:val="22"/>
          <w:szCs w:val="22"/>
        </w:rPr>
        <w:t>nd</w:t>
      </w:r>
      <w:r>
        <w:rPr>
          <w:rFonts w:ascii="Calibri" w:hAnsi="Calibri" w:cs="Calibri"/>
          <w:sz w:val="22"/>
          <w:szCs w:val="22"/>
        </w:rPr>
        <w:t xml:space="preserve"> work abroad as digital nomads</w:t>
      </w:r>
      <w:r w:rsidR="005C3499">
        <w:rPr>
          <w:rFonts w:ascii="Calibri" w:hAnsi="Calibri" w:cs="Calibri"/>
          <w:sz w:val="22"/>
          <w:szCs w:val="22"/>
        </w:rPr>
        <w:t xml:space="preserve">, and with 730,000 </w:t>
      </w:r>
      <w:r w:rsidR="00AC04C8">
        <w:rPr>
          <w:rFonts w:ascii="Calibri" w:hAnsi="Calibri" w:cs="Calibri"/>
          <w:sz w:val="22"/>
          <w:szCs w:val="22"/>
        </w:rPr>
        <w:t>monthly searches worldwide</w:t>
      </w:r>
      <w:r w:rsidR="00872FBB">
        <w:rPr>
          <w:rFonts w:ascii="Calibri" w:hAnsi="Calibri" w:cs="Calibri"/>
          <w:sz w:val="22"/>
          <w:szCs w:val="22"/>
        </w:rPr>
        <w:t xml:space="preserve">, </w:t>
      </w:r>
      <w:r w:rsidR="009A165F" w:rsidRPr="009A165F">
        <w:rPr>
          <w:rFonts w:ascii="Calibri" w:hAnsi="Calibri" w:cs="Calibri"/>
          <w:sz w:val="22"/>
          <w:szCs w:val="22"/>
        </w:rPr>
        <w:t>this number is expected to rise further as remote and flexible working continues to reshape how people travel and work.</w:t>
      </w:r>
    </w:p>
    <w:p w14:paraId="6752563F" w14:textId="77777777" w:rsidR="009A165F" w:rsidRPr="009A165F" w:rsidRDefault="009A165F" w:rsidP="009A165F">
      <w:pPr>
        <w:rPr>
          <w:rFonts w:ascii="Calibri" w:hAnsi="Calibri" w:cs="Calibri"/>
          <w:sz w:val="22"/>
          <w:szCs w:val="22"/>
        </w:rPr>
      </w:pPr>
    </w:p>
    <w:p w14:paraId="39C0AC2B" w14:textId="1A55C8ED" w:rsidR="00D10C47" w:rsidRPr="00D10C47" w:rsidRDefault="00D10C47" w:rsidP="00D10C47">
      <w:pPr>
        <w:rPr>
          <w:rFonts w:ascii="Calibri" w:hAnsi="Calibri" w:cs="Calibri"/>
          <w:sz w:val="22"/>
          <w:szCs w:val="22"/>
        </w:rPr>
      </w:pPr>
      <w:r w:rsidRPr="00D10C47">
        <w:rPr>
          <w:rFonts w:ascii="Calibri" w:hAnsi="Calibri" w:cs="Calibri"/>
          <w:sz w:val="22"/>
          <w:szCs w:val="22"/>
        </w:rPr>
        <w:t xml:space="preserve">To help identify the destinations best suited to this growing trend, luxury travel advisors </w:t>
      </w:r>
      <w:hyperlink r:id="rId6" w:history="1">
        <w:r w:rsidRPr="00F7067F">
          <w:rPr>
            <w:rStyle w:val="Hyperlink"/>
            <w:rFonts w:ascii="Calibri" w:hAnsi="Calibri" w:cs="Calibri"/>
            <w:b/>
            <w:bCs/>
            <w:sz w:val="22"/>
            <w:szCs w:val="22"/>
          </w:rPr>
          <w:t>Bailey Robinson</w:t>
        </w:r>
      </w:hyperlink>
      <w:r w:rsidRPr="00D10C47">
        <w:rPr>
          <w:rFonts w:ascii="Calibri" w:hAnsi="Calibri" w:cs="Calibri"/>
          <w:sz w:val="22"/>
          <w:szCs w:val="22"/>
        </w:rPr>
        <w:t xml:space="preserve"> analysed some of the world's most sought-after locations for remote professionals.</w:t>
      </w:r>
    </w:p>
    <w:p w14:paraId="2F99AD89" w14:textId="77777777" w:rsidR="00D10C47" w:rsidRPr="00D10C47" w:rsidRDefault="00D10C47" w:rsidP="00D10C47">
      <w:pPr>
        <w:rPr>
          <w:rFonts w:ascii="Calibri" w:hAnsi="Calibri" w:cs="Calibri"/>
          <w:sz w:val="22"/>
          <w:szCs w:val="22"/>
        </w:rPr>
      </w:pPr>
    </w:p>
    <w:p w14:paraId="35A33849" w14:textId="27F8796D" w:rsidR="00D10C47" w:rsidRPr="00D10C47" w:rsidRDefault="00D10C47" w:rsidP="00D10C47">
      <w:pPr>
        <w:rPr>
          <w:rFonts w:ascii="Calibri" w:hAnsi="Calibri" w:cs="Calibri"/>
          <w:sz w:val="22"/>
          <w:szCs w:val="22"/>
        </w:rPr>
      </w:pPr>
      <w:r w:rsidRPr="00D10C47">
        <w:rPr>
          <w:rFonts w:ascii="Calibri" w:hAnsi="Calibri" w:cs="Calibri"/>
          <w:sz w:val="22"/>
          <w:szCs w:val="22"/>
        </w:rPr>
        <w:t>The study assessed destinations across factors including visa flexibility, stay lengths, income requirements, tax considerations, internet connectivity and overall lifestyle appeal to determine where digital nomads can best balance career ambitions with quality of life.</w:t>
      </w:r>
    </w:p>
    <w:p w14:paraId="51B3285A" w14:textId="77777777" w:rsidR="00D10C47" w:rsidRPr="00D10C47" w:rsidRDefault="00D10C47" w:rsidP="00D10C47">
      <w:pPr>
        <w:rPr>
          <w:rFonts w:ascii="Calibri" w:hAnsi="Calibri" w:cs="Calibri"/>
          <w:sz w:val="22"/>
          <w:szCs w:val="22"/>
        </w:rPr>
      </w:pPr>
    </w:p>
    <w:p w14:paraId="611FEABF" w14:textId="77777777" w:rsidR="00D10C47" w:rsidRPr="00D10C47" w:rsidRDefault="00D10C47" w:rsidP="00D10C47">
      <w:pPr>
        <w:rPr>
          <w:rFonts w:ascii="Calibri" w:hAnsi="Calibri" w:cs="Calibri"/>
          <w:sz w:val="22"/>
          <w:szCs w:val="22"/>
        </w:rPr>
      </w:pPr>
      <w:r w:rsidRPr="00D10C47">
        <w:rPr>
          <w:rFonts w:ascii="Calibri" w:hAnsi="Calibri" w:cs="Calibri"/>
          <w:sz w:val="22"/>
          <w:szCs w:val="22"/>
        </w:rPr>
        <w:t>With more workers choosing to exchange traditional office life for overseas destinations offering sunshine, culture and freedom, countries are increasingly competing to attract remote professionals through dedicated digital nomad visa programmes.</w:t>
      </w:r>
    </w:p>
    <w:p w14:paraId="207D8A5D" w14:textId="77777777" w:rsidR="00D10C47" w:rsidRPr="00D10C47" w:rsidRDefault="00D10C47" w:rsidP="00D10C47">
      <w:pPr>
        <w:rPr>
          <w:rFonts w:ascii="Calibri" w:hAnsi="Calibri" w:cs="Calibri"/>
          <w:sz w:val="22"/>
          <w:szCs w:val="22"/>
        </w:rPr>
      </w:pPr>
    </w:p>
    <w:p w14:paraId="23DCEAC6" w14:textId="0B31D79F" w:rsidR="000D53A7" w:rsidRDefault="00D10C47" w:rsidP="00D10C47">
      <w:pPr>
        <w:rPr>
          <w:rFonts w:ascii="Calibri" w:hAnsi="Calibri" w:cs="Calibri"/>
          <w:sz w:val="22"/>
          <w:szCs w:val="22"/>
        </w:rPr>
      </w:pPr>
      <w:r w:rsidRPr="00D10C47">
        <w:rPr>
          <w:rFonts w:ascii="Calibri" w:hAnsi="Calibri" w:cs="Calibri"/>
          <w:sz w:val="22"/>
          <w:szCs w:val="22"/>
        </w:rPr>
        <w:t>The findings offer insight into the legal, practical and lifestyle considerations shaping the next generation of international remote working.</w:t>
      </w:r>
    </w:p>
    <w:p w14:paraId="7BA92869" w14:textId="77777777" w:rsidR="00D10C47" w:rsidRPr="00D10C47" w:rsidRDefault="00D10C47" w:rsidP="00D10C47">
      <w:pPr>
        <w:rPr>
          <w:rFonts w:ascii="Calibri" w:hAnsi="Calibri" w:cs="Calibri"/>
          <w:sz w:val="22"/>
          <w:szCs w:val="22"/>
        </w:rPr>
      </w:pPr>
    </w:p>
    <w:p w14:paraId="22AC8072" w14:textId="0726CAA4" w:rsidR="00243EE6" w:rsidRPr="00243EE6" w:rsidRDefault="00243EE6" w:rsidP="00F57570">
      <w:pPr>
        <w:rPr>
          <w:rFonts w:ascii="Calibri" w:hAnsi="Calibri" w:cs="Calibri"/>
          <w:b/>
          <w:bCs/>
          <w:u w:val="single"/>
        </w:rPr>
      </w:pPr>
      <w:r w:rsidRPr="00243EE6">
        <w:rPr>
          <w:rFonts w:ascii="Calibri" w:hAnsi="Calibri" w:cs="Calibri"/>
          <w:b/>
          <w:bCs/>
          <w:u w:val="single"/>
        </w:rPr>
        <w:t>Top 15 destinations for digital nomads:</w:t>
      </w:r>
    </w:p>
    <w:tbl>
      <w:tblPr>
        <w:tblW w:w="11341" w:type="dxa"/>
        <w:tblInd w:w="-998" w:type="dxa"/>
        <w:tblLayout w:type="fixed"/>
        <w:tblLook w:val="04A0" w:firstRow="1" w:lastRow="0" w:firstColumn="1" w:lastColumn="0" w:noHBand="0" w:noVBand="1"/>
      </w:tblPr>
      <w:tblGrid>
        <w:gridCol w:w="709"/>
        <w:gridCol w:w="1135"/>
        <w:gridCol w:w="992"/>
        <w:gridCol w:w="1276"/>
        <w:gridCol w:w="1134"/>
        <w:gridCol w:w="1276"/>
        <w:gridCol w:w="992"/>
        <w:gridCol w:w="992"/>
        <w:gridCol w:w="1134"/>
        <w:gridCol w:w="851"/>
        <w:gridCol w:w="850"/>
      </w:tblGrid>
      <w:tr w:rsidR="005D566A" w:rsidRPr="005D566A" w14:paraId="547BF3F9" w14:textId="77777777" w:rsidTr="006A0DD9">
        <w:trPr>
          <w:trHeight w:val="857"/>
        </w:trPr>
        <w:tc>
          <w:tcPr>
            <w:tcW w:w="709" w:type="dxa"/>
            <w:tcBorders>
              <w:top w:val="single" w:sz="4" w:space="0" w:color="CCCCCC"/>
              <w:left w:val="single" w:sz="4" w:space="0" w:color="CCCCCC"/>
              <w:bottom w:val="single" w:sz="4" w:space="0" w:color="CCCCCC"/>
              <w:right w:val="single" w:sz="4" w:space="0" w:color="CCCCCC"/>
            </w:tcBorders>
            <w:shd w:val="clear" w:color="000000" w:fill="3C8A8E"/>
            <w:vAlign w:val="center"/>
            <w:hideMark/>
          </w:tcPr>
          <w:p w14:paraId="59E2E405"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Rank</w:t>
            </w:r>
          </w:p>
        </w:tc>
        <w:tc>
          <w:tcPr>
            <w:tcW w:w="1135" w:type="dxa"/>
            <w:tcBorders>
              <w:top w:val="single" w:sz="4" w:space="0" w:color="CCCCCC"/>
              <w:left w:val="nil"/>
              <w:bottom w:val="single" w:sz="4" w:space="0" w:color="CCCCCC"/>
              <w:right w:val="single" w:sz="4" w:space="0" w:color="CCCCCC"/>
            </w:tcBorders>
            <w:shd w:val="clear" w:color="000000" w:fill="3C8A8E"/>
            <w:vAlign w:val="center"/>
            <w:hideMark/>
          </w:tcPr>
          <w:p w14:paraId="70528C86" w14:textId="77777777" w:rsidR="005D566A" w:rsidRPr="005D566A" w:rsidRDefault="005D566A" w:rsidP="006A0DD9">
            <w:pPr>
              <w:spacing w:after="0" w:line="240" w:lineRule="auto"/>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Country</w:t>
            </w:r>
          </w:p>
        </w:tc>
        <w:tc>
          <w:tcPr>
            <w:tcW w:w="992" w:type="dxa"/>
            <w:tcBorders>
              <w:top w:val="single" w:sz="4" w:space="0" w:color="CCCCCC"/>
              <w:left w:val="nil"/>
              <w:bottom w:val="single" w:sz="4" w:space="0" w:color="CCCCCC"/>
              <w:right w:val="single" w:sz="4" w:space="0" w:color="CCCCCC"/>
            </w:tcBorders>
            <w:shd w:val="clear" w:color="000000" w:fill="3C8A8E"/>
            <w:vAlign w:val="center"/>
            <w:hideMark/>
          </w:tcPr>
          <w:p w14:paraId="29E5E26C"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Max Stay (Months)</w:t>
            </w:r>
          </w:p>
        </w:tc>
        <w:tc>
          <w:tcPr>
            <w:tcW w:w="1276" w:type="dxa"/>
            <w:tcBorders>
              <w:top w:val="single" w:sz="4" w:space="0" w:color="CCCCCC"/>
              <w:left w:val="nil"/>
              <w:bottom w:val="single" w:sz="4" w:space="0" w:color="CCCCCC"/>
              <w:right w:val="single" w:sz="4" w:space="0" w:color="CCCCCC"/>
            </w:tcBorders>
            <w:shd w:val="clear" w:color="000000" w:fill="3C8A8E"/>
            <w:vAlign w:val="center"/>
            <w:hideMark/>
          </w:tcPr>
          <w:p w14:paraId="732C18E1"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Min. Monthly Income (£)</w:t>
            </w:r>
          </w:p>
        </w:tc>
        <w:tc>
          <w:tcPr>
            <w:tcW w:w="1134" w:type="dxa"/>
            <w:tcBorders>
              <w:top w:val="single" w:sz="4" w:space="0" w:color="CCCCCC"/>
              <w:left w:val="nil"/>
              <w:bottom w:val="single" w:sz="4" w:space="0" w:color="CCCCCC"/>
              <w:right w:val="single" w:sz="4" w:space="0" w:color="CCCCCC"/>
            </w:tcBorders>
            <w:shd w:val="clear" w:color="000000" w:fill="3C8A8E"/>
            <w:vAlign w:val="center"/>
            <w:hideMark/>
          </w:tcPr>
          <w:p w14:paraId="7DC37329"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Application Fee (£)</w:t>
            </w:r>
          </w:p>
        </w:tc>
        <w:tc>
          <w:tcPr>
            <w:tcW w:w="1276" w:type="dxa"/>
            <w:tcBorders>
              <w:top w:val="single" w:sz="4" w:space="0" w:color="CCCCCC"/>
              <w:left w:val="nil"/>
              <w:bottom w:val="single" w:sz="4" w:space="0" w:color="CCCCCC"/>
              <w:right w:val="single" w:sz="4" w:space="0" w:color="CCCCCC"/>
            </w:tcBorders>
            <w:shd w:val="clear" w:color="000000" w:fill="3C8A8E"/>
            <w:vAlign w:val="center"/>
            <w:hideMark/>
          </w:tcPr>
          <w:p w14:paraId="4E25DCD0"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Avg. Monthly Living Cost (£)</w:t>
            </w:r>
          </w:p>
        </w:tc>
        <w:tc>
          <w:tcPr>
            <w:tcW w:w="992" w:type="dxa"/>
            <w:tcBorders>
              <w:top w:val="single" w:sz="4" w:space="0" w:color="CCCCCC"/>
              <w:left w:val="nil"/>
              <w:bottom w:val="single" w:sz="4" w:space="0" w:color="CCCCCC"/>
              <w:right w:val="single" w:sz="4" w:space="0" w:color="CCCCCC"/>
            </w:tcBorders>
            <w:shd w:val="clear" w:color="000000" w:fill="3C8A8E"/>
            <w:vAlign w:val="center"/>
            <w:hideMark/>
          </w:tcPr>
          <w:p w14:paraId="1D94E737"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Avg. 1BR Rent (£/mo)</w:t>
            </w:r>
          </w:p>
        </w:tc>
        <w:tc>
          <w:tcPr>
            <w:tcW w:w="992" w:type="dxa"/>
            <w:tcBorders>
              <w:top w:val="single" w:sz="4" w:space="0" w:color="CCCCCC"/>
              <w:left w:val="nil"/>
              <w:bottom w:val="single" w:sz="4" w:space="0" w:color="CCCCCC"/>
              <w:right w:val="single" w:sz="4" w:space="0" w:color="CCCCCC"/>
            </w:tcBorders>
            <w:shd w:val="clear" w:color="000000" w:fill="3C8A8E"/>
            <w:vAlign w:val="center"/>
            <w:hideMark/>
          </w:tcPr>
          <w:p w14:paraId="7476DFAD"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Avg. Internet Speed (Mbps)</w:t>
            </w:r>
          </w:p>
        </w:tc>
        <w:tc>
          <w:tcPr>
            <w:tcW w:w="1134" w:type="dxa"/>
            <w:tcBorders>
              <w:top w:val="single" w:sz="4" w:space="0" w:color="CCCCCC"/>
              <w:left w:val="nil"/>
              <w:bottom w:val="single" w:sz="4" w:space="0" w:color="CCCCCC"/>
              <w:right w:val="single" w:sz="4" w:space="0" w:color="CCCCCC"/>
            </w:tcBorders>
            <w:shd w:val="clear" w:color="000000" w:fill="3C8A8E"/>
            <w:vAlign w:val="center"/>
            <w:hideMark/>
          </w:tcPr>
          <w:p w14:paraId="0F6FE09E"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Coworking Space (£/mo)</w:t>
            </w:r>
          </w:p>
        </w:tc>
        <w:tc>
          <w:tcPr>
            <w:tcW w:w="851" w:type="dxa"/>
            <w:tcBorders>
              <w:top w:val="single" w:sz="4" w:space="0" w:color="CCCCCC"/>
              <w:left w:val="nil"/>
              <w:bottom w:val="single" w:sz="4" w:space="0" w:color="CCCCCC"/>
              <w:right w:val="single" w:sz="4" w:space="0" w:color="CCCCCC"/>
            </w:tcBorders>
            <w:shd w:val="clear" w:color="000000" w:fill="3C8A8E"/>
            <w:vAlign w:val="center"/>
            <w:hideMark/>
          </w:tcPr>
          <w:p w14:paraId="5208CF1C"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Lifestyle Score (/10)</w:t>
            </w:r>
          </w:p>
        </w:tc>
        <w:tc>
          <w:tcPr>
            <w:tcW w:w="850" w:type="dxa"/>
            <w:tcBorders>
              <w:top w:val="single" w:sz="4" w:space="0" w:color="CCCCCC"/>
              <w:left w:val="nil"/>
              <w:bottom w:val="single" w:sz="4" w:space="0" w:color="CCCCCC"/>
              <w:right w:val="single" w:sz="4" w:space="0" w:color="CCCCCC"/>
            </w:tcBorders>
            <w:shd w:val="clear" w:color="000000" w:fill="3C8A8E"/>
            <w:vAlign w:val="center"/>
            <w:hideMark/>
          </w:tcPr>
          <w:p w14:paraId="36FE4A7A" w14:textId="77777777" w:rsidR="005D566A" w:rsidRPr="005D566A" w:rsidRDefault="005D566A" w:rsidP="005D566A">
            <w:pPr>
              <w:spacing w:after="0" w:line="240" w:lineRule="auto"/>
              <w:jc w:val="center"/>
              <w:rPr>
                <w:rFonts w:ascii="Calibri" w:eastAsia="Times New Roman" w:hAnsi="Calibri" w:cs="Calibri"/>
                <w:b/>
                <w:bCs/>
                <w:color w:val="FFFFFF"/>
                <w:kern w:val="0"/>
                <w:sz w:val="18"/>
                <w:szCs w:val="18"/>
                <w:lang w:eastAsia="en-GB"/>
                <w14:ligatures w14:val="none"/>
              </w:rPr>
            </w:pPr>
            <w:r w:rsidRPr="005D566A">
              <w:rPr>
                <w:rFonts w:ascii="Calibri" w:eastAsia="Times New Roman" w:hAnsi="Calibri" w:cs="Calibri"/>
                <w:b/>
                <w:bCs/>
                <w:color w:val="FFFFFF"/>
                <w:kern w:val="0"/>
                <w:sz w:val="18"/>
                <w:szCs w:val="18"/>
                <w:lang w:eastAsia="en-GB"/>
                <w14:ligatures w14:val="none"/>
              </w:rPr>
              <w:t>Overall Score (/100)</w:t>
            </w:r>
          </w:p>
        </w:tc>
      </w:tr>
      <w:tr w:rsidR="005D566A" w:rsidRPr="005D566A" w14:paraId="298D690C" w14:textId="77777777" w:rsidTr="006A0DD9">
        <w:trPr>
          <w:trHeight w:val="84"/>
        </w:trPr>
        <w:tc>
          <w:tcPr>
            <w:tcW w:w="709" w:type="dxa"/>
            <w:tcBorders>
              <w:top w:val="nil"/>
              <w:left w:val="single" w:sz="4" w:space="0" w:color="CCCCCC"/>
              <w:bottom w:val="single" w:sz="4" w:space="0" w:color="CCCCCC"/>
              <w:right w:val="single" w:sz="4" w:space="0" w:color="CCCCCC"/>
            </w:tcBorders>
            <w:shd w:val="clear" w:color="000000" w:fill="FFD700"/>
            <w:vAlign w:val="center"/>
            <w:hideMark/>
          </w:tcPr>
          <w:p w14:paraId="324B8680"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1</w:t>
            </w:r>
          </w:p>
        </w:tc>
        <w:tc>
          <w:tcPr>
            <w:tcW w:w="1135" w:type="dxa"/>
            <w:tcBorders>
              <w:top w:val="nil"/>
              <w:left w:val="nil"/>
              <w:bottom w:val="single" w:sz="4" w:space="0" w:color="CCCCCC"/>
              <w:right w:val="single" w:sz="4" w:space="0" w:color="CCCCCC"/>
            </w:tcBorders>
            <w:shd w:val="clear" w:color="000000" w:fill="E8F0FB"/>
            <w:vAlign w:val="center"/>
            <w:hideMark/>
          </w:tcPr>
          <w:p w14:paraId="1673BDAF"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Spain</w:t>
            </w:r>
          </w:p>
        </w:tc>
        <w:tc>
          <w:tcPr>
            <w:tcW w:w="992" w:type="dxa"/>
            <w:tcBorders>
              <w:top w:val="nil"/>
              <w:left w:val="nil"/>
              <w:bottom w:val="single" w:sz="4" w:space="0" w:color="CCCCCC"/>
              <w:right w:val="single" w:sz="4" w:space="0" w:color="CCCCCC"/>
            </w:tcBorders>
            <w:shd w:val="clear" w:color="000000" w:fill="E8F0FB"/>
            <w:vAlign w:val="center"/>
            <w:hideMark/>
          </w:tcPr>
          <w:p w14:paraId="7140AC9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60</w:t>
            </w:r>
          </w:p>
        </w:tc>
        <w:tc>
          <w:tcPr>
            <w:tcW w:w="1276" w:type="dxa"/>
            <w:tcBorders>
              <w:top w:val="nil"/>
              <w:left w:val="nil"/>
              <w:bottom w:val="single" w:sz="4" w:space="0" w:color="CCCCCC"/>
              <w:right w:val="single" w:sz="4" w:space="0" w:color="CCCCCC"/>
            </w:tcBorders>
            <w:shd w:val="clear" w:color="000000" w:fill="E8F0FB"/>
            <w:vAlign w:val="center"/>
            <w:hideMark/>
          </w:tcPr>
          <w:p w14:paraId="592A7B77"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£2,315</w:t>
            </w:r>
          </w:p>
        </w:tc>
        <w:tc>
          <w:tcPr>
            <w:tcW w:w="1134" w:type="dxa"/>
            <w:tcBorders>
              <w:top w:val="nil"/>
              <w:left w:val="nil"/>
              <w:bottom w:val="single" w:sz="4" w:space="0" w:color="CCCCCC"/>
              <w:right w:val="single" w:sz="4" w:space="0" w:color="CCCCCC"/>
            </w:tcBorders>
            <w:shd w:val="clear" w:color="000000" w:fill="E8F0FB"/>
            <w:vAlign w:val="center"/>
            <w:hideMark/>
          </w:tcPr>
          <w:p w14:paraId="4DCF773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£60</w:t>
            </w:r>
          </w:p>
        </w:tc>
        <w:tc>
          <w:tcPr>
            <w:tcW w:w="1276" w:type="dxa"/>
            <w:tcBorders>
              <w:top w:val="nil"/>
              <w:left w:val="nil"/>
              <w:bottom w:val="single" w:sz="4" w:space="0" w:color="CCCCCC"/>
              <w:right w:val="single" w:sz="4" w:space="0" w:color="CCCCCC"/>
            </w:tcBorders>
            <w:shd w:val="clear" w:color="000000" w:fill="E8F0FB"/>
            <w:vAlign w:val="center"/>
            <w:hideMark/>
          </w:tcPr>
          <w:p w14:paraId="2B1E7EC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£1,645</w:t>
            </w:r>
          </w:p>
        </w:tc>
        <w:tc>
          <w:tcPr>
            <w:tcW w:w="992" w:type="dxa"/>
            <w:tcBorders>
              <w:top w:val="nil"/>
              <w:left w:val="nil"/>
              <w:bottom w:val="single" w:sz="4" w:space="0" w:color="CCCCCC"/>
              <w:right w:val="single" w:sz="4" w:space="0" w:color="CCCCCC"/>
            </w:tcBorders>
            <w:shd w:val="clear" w:color="000000" w:fill="E8F0FB"/>
            <w:vAlign w:val="center"/>
            <w:hideMark/>
          </w:tcPr>
          <w:p w14:paraId="4BF1AE45"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£670</w:t>
            </w:r>
          </w:p>
        </w:tc>
        <w:tc>
          <w:tcPr>
            <w:tcW w:w="992" w:type="dxa"/>
            <w:tcBorders>
              <w:top w:val="nil"/>
              <w:left w:val="nil"/>
              <w:bottom w:val="single" w:sz="4" w:space="0" w:color="CCCCCC"/>
              <w:right w:val="single" w:sz="4" w:space="0" w:color="CCCCCC"/>
            </w:tcBorders>
            <w:shd w:val="clear" w:color="000000" w:fill="E8F0FB"/>
            <w:vAlign w:val="center"/>
            <w:hideMark/>
          </w:tcPr>
          <w:p w14:paraId="11B7661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200</w:t>
            </w:r>
          </w:p>
        </w:tc>
        <w:tc>
          <w:tcPr>
            <w:tcW w:w="1134" w:type="dxa"/>
            <w:tcBorders>
              <w:top w:val="nil"/>
              <w:left w:val="nil"/>
              <w:bottom w:val="single" w:sz="4" w:space="0" w:color="CCCCCC"/>
              <w:right w:val="single" w:sz="4" w:space="0" w:color="CCCCCC"/>
            </w:tcBorders>
            <w:shd w:val="clear" w:color="000000" w:fill="E8F0FB"/>
            <w:vAlign w:val="center"/>
            <w:hideMark/>
          </w:tcPr>
          <w:p w14:paraId="43D40560"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£150</w:t>
            </w:r>
          </w:p>
        </w:tc>
        <w:tc>
          <w:tcPr>
            <w:tcW w:w="851" w:type="dxa"/>
            <w:tcBorders>
              <w:top w:val="nil"/>
              <w:left w:val="nil"/>
              <w:bottom w:val="single" w:sz="4" w:space="0" w:color="CCCCCC"/>
              <w:right w:val="single" w:sz="4" w:space="0" w:color="CCCCCC"/>
            </w:tcBorders>
            <w:shd w:val="clear" w:color="000000" w:fill="E8F0FB"/>
            <w:vAlign w:val="center"/>
            <w:hideMark/>
          </w:tcPr>
          <w:p w14:paraId="37DF143C"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9.5</w:t>
            </w:r>
          </w:p>
        </w:tc>
        <w:tc>
          <w:tcPr>
            <w:tcW w:w="850" w:type="dxa"/>
            <w:tcBorders>
              <w:top w:val="single" w:sz="4" w:space="0" w:color="CCCCCC"/>
              <w:left w:val="single" w:sz="4" w:space="0" w:color="CCCCCC"/>
              <w:bottom w:val="single" w:sz="4" w:space="0" w:color="CCCCCC"/>
              <w:right w:val="single" w:sz="4" w:space="0" w:color="CCCCCC"/>
            </w:tcBorders>
            <w:shd w:val="clear" w:color="000000" w:fill="63BE7B"/>
            <w:vAlign w:val="center"/>
            <w:hideMark/>
          </w:tcPr>
          <w:p w14:paraId="04180BE8"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88</w:t>
            </w:r>
          </w:p>
        </w:tc>
      </w:tr>
      <w:tr w:rsidR="005D566A" w:rsidRPr="005D566A" w14:paraId="73D641D1" w14:textId="77777777" w:rsidTr="006A0DD9">
        <w:trPr>
          <w:trHeight w:val="130"/>
        </w:trPr>
        <w:tc>
          <w:tcPr>
            <w:tcW w:w="709" w:type="dxa"/>
            <w:tcBorders>
              <w:top w:val="nil"/>
              <w:left w:val="single" w:sz="4" w:space="0" w:color="CCCCCC"/>
              <w:bottom w:val="single" w:sz="4" w:space="0" w:color="CCCCCC"/>
              <w:right w:val="single" w:sz="4" w:space="0" w:color="CCCCCC"/>
            </w:tcBorders>
            <w:shd w:val="clear" w:color="000000" w:fill="C0C0C0"/>
            <w:vAlign w:val="center"/>
            <w:hideMark/>
          </w:tcPr>
          <w:p w14:paraId="3103B9D1"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2</w:t>
            </w:r>
          </w:p>
        </w:tc>
        <w:tc>
          <w:tcPr>
            <w:tcW w:w="1135" w:type="dxa"/>
            <w:tcBorders>
              <w:top w:val="nil"/>
              <w:left w:val="nil"/>
              <w:bottom w:val="single" w:sz="4" w:space="0" w:color="CCCCCC"/>
              <w:right w:val="single" w:sz="4" w:space="0" w:color="CCCCCC"/>
            </w:tcBorders>
            <w:shd w:val="clear" w:color="000000" w:fill="FFFFFF"/>
            <w:vAlign w:val="center"/>
            <w:hideMark/>
          </w:tcPr>
          <w:p w14:paraId="76FC5333"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Portugal</w:t>
            </w:r>
          </w:p>
        </w:tc>
        <w:tc>
          <w:tcPr>
            <w:tcW w:w="992" w:type="dxa"/>
            <w:tcBorders>
              <w:top w:val="nil"/>
              <w:left w:val="nil"/>
              <w:bottom w:val="single" w:sz="4" w:space="0" w:color="CCCCCC"/>
              <w:right w:val="single" w:sz="4" w:space="0" w:color="CCCCCC"/>
            </w:tcBorders>
            <w:shd w:val="clear" w:color="000000" w:fill="FFFFFF"/>
            <w:vAlign w:val="center"/>
            <w:hideMark/>
          </w:tcPr>
          <w:p w14:paraId="4910C84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FFFFFF"/>
            <w:vAlign w:val="center"/>
            <w:hideMark/>
          </w:tcPr>
          <w:p w14:paraId="23E05CA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£2,600</w:t>
            </w:r>
          </w:p>
        </w:tc>
        <w:tc>
          <w:tcPr>
            <w:tcW w:w="1134" w:type="dxa"/>
            <w:tcBorders>
              <w:top w:val="nil"/>
              <w:left w:val="nil"/>
              <w:bottom w:val="single" w:sz="4" w:space="0" w:color="CCCCCC"/>
              <w:right w:val="single" w:sz="4" w:space="0" w:color="CCCCCC"/>
            </w:tcBorders>
            <w:shd w:val="clear" w:color="000000" w:fill="FFFFFF"/>
            <w:vAlign w:val="center"/>
            <w:hideMark/>
          </w:tcPr>
          <w:p w14:paraId="714E6A9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£135</w:t>
            </w:r>
          </w:p>
        </w:tc>
        <w:tc>
          <w:tcPr>
            <w:tcW w:w="1276" w:type="dxa"/>
            <w:tcBorders>
              <w:top w:val="nil"/>
              <w:left w:val="nil"/>
              <w:bottom w:val="single" w:sz="4" w:space="0" w:color="CCCCCC"/>
              <w:right w:val="single" w:sz="4" w:space="0" w:color="CCCCCC"/>
            </w:tcBorders>
            <w:shd w:val="clear" w:color="000000" w:fill="FFFFFF"/>
            <w:vAlign w:val="center"/>
            <w:hideMark/>
          </w:tcPr>
          <w:p w14:paraId="685C4ED0"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£1,495</w:t>
            </w:r>
          </w:p>
        </w:tc>
        <w:tc>
          <w:tcPr>
            <w:tcW w:w="992" w:type="dxa"/>
            <w:tcBorders>
              <w:top w:val="nil"/>
              <w:left w:val="nil"/>
              <w:bottom w:val="single" w:sz="4" w:space="0" w:color="CCCCCC"/>
              <w:right w:val="single" w:sz="4" w:space="0" w:color="CCCCCC"/>
            </w:tcBorders>
            <w:shd w:val="clear" w:color="000000" w:fill="FFFFFF"/>
            <w:vAlign w:val="center"/>
            <w:hideMark/>
          </w:tcPr>
          <w:p w14:paraId="38487CAC"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£635</w:t>
            </w:r>
          </w:p>
        </w:tc>
        <w:tc>
          <w:tcPr>
            <w:tcW w:w="992" w:type="dxa"/>
            <w:tcBorders>
              <w:top w:val="nil"/>
              <w:left w:val="nil"/>
              <w:bottom w:val="single" w:sz="4" w:space="0" w:color="CCCCCC"/>
              <w:right w:val="single" w:sz="4" w:space="0" w:color="CCCCCC"/>
            </w:tcBorders>
            <w:shd w:val="clear" w:color="000000" w:fill="FFFFFF"/>
            <w:vAlign w:val="center"/>
            <w:hideMark/>
          </w:tcPr>
          <w:p w14:paraId="4FE396AB"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180</w:t>
            </w:r>
          </w:p>
        </w:tc>
        <w:tc>
          <w:tcPr>
            <w:tcW w:w="1134" w:type="dxa"/>
            <w:tcBorders>
              <w:top w:val="nil"/>
              <w:left w:val="nil"/>
              <w:bottom w:val="single" w:sz="4" w:space="0" w:color="CCCCCC"/>
              <w:right w:val="single" w:sz="4" w:space="0" w:color="CCCCCC"/>
            </w:tcBorders>
            <w:shd w:val="clear" w:color="000000" w:fill="FFFFFF"/>
            <w:vAlign w:val="center"/>
            <w:hideMark/>
          </w:tcPr>
          <w:p w14:paraId="6918033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£135</w:t>
            </w:r>
          </w:p>
        </w:tc>
        <w:tc>
          <w:tcPr>
            <w:tcW w:w="851" w:type="dxa"/>
            <w:tcBorders>
              <w:top w:val="nil"/>
              <w:left w:val="nil"/>
              <w:bottom w:val="single" w:sz="4" w:space="0" w:color="CCCCCC"/>
              <w:right w:val="single" w:sz="4" w:space="0" w:color="CCCCCC"/>
            </w:tcBorders>
            <w:shd w:val="clear" w:color="000000" w:fill="FFFFFF"/>
            <w:vAlign w:val="center"/>
            <w:hideMark/>
          </w:tcPr>
          <w:p w14:paraId="593F96A4"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9.0</w:t>
            </w:r>
          </w:p>
        </w:tc>
        <w:tc>
          <w:tcPr>
            <w:tcW w:w="850" w:type="dxa"/>
            <w:tcBorders>
              <w:top w:val="single" w:sz="4" w:space="0" w:color="CCCCCC"/>
              <w:left w:val="single" w:sz="4" w:space="0" w:color="CCCCCC"/>
              <w:bottom w:val="single" w:sz="4" w:space="0" w:color="CCCCCC"/>
              <w:right w:val="single" w:sz="4" w:space="0" w:color="CCCCCC"/>
            </w:tcBorders>
            <w:shd w:val="clear" w:color="000000" w:fill="8ACA7E"/>
            <w:vAlign w:val="center"/>
            <w:hideMark/>
          </w:tcPr>
          <w:p w14:paraId="7782E69E"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85</w:t>
            </w:r>
          </w:p>
        </w:tc>
      </w:tr>
      <w:tr w:rsidR="005D566A" w:rsidRPr="005D566A" w14:paraId="1E969850"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CD7F32"/>
            <w:vAlign w:val="center"/>
            <w:hideMark/>
          </w:tcPr>
          <w:p w14:paraId="7DA7EA08"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3</w:t>
            </w:r>
          </w:p>
        </w:tc>
        <w:tc>
          <w:tcPr>
            <w:tcW w:w="1135" w:type="dxa"/>
            <w:tcBorders>
              <w:top w:val="nil"/>
              <w:left w:val="nil"/>
              <w:bottom w:val="single" w:sz="4" w:space="0" w:color="CCCCCC"/>
              <w:right w:val="single" w:sz="4" w:space="0" w:color="CCCCCC"/>
            </w:tcBorders>
            <w:shd w:val="clear" w:color="000000" w:fill="E8F0FB"/>
            <w:vAlign w:val="center"/>
            <w:hideMark/>
          </w:tcPr>
          <w:p w14:paraId="2DCA1F88"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Croatia</w:t>
            </w:r>
          </w:p>
        </w:tc>
        <w:tc>
          <w:tcPr>
            <w:tcW w:w="992" w:type="dxa"/>
            <w:tcBorders>
              <w:top w:val="nil"/>
              <w:left w:val="nil"/>
              <w:bottom w:val="single" w:sz="4" w:space="0" w:color="CCCCCC"/>
              <w:right w:val="single" w:sz="4" w:space="0" w:color="CCCCCC"/>
            </w:tcBorders>
            <w:shd w:val="clear" w:color="000000" w:fill="E8F0FB"/>
            <w:vAlign w:val="center"/>
            <w:hideMark/>
          </w:tcPr>
          <w:p w14:paraId="3E286A2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E8F0FB"/>
            <w:vAlign w:val="center"/>
            <w:hideMark/>
          </w:tcPr>
          <w:p w14:paraId="2F7DAB3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£2,145</w:t>
            </w:r>
          </w:p>
        </w:tc>
        <w:tc>
          <w:tcPr>
            <w:tcW w:w="1134" w:type="dxa"/>
            <w:tcBorders>
              <w:top w:val="nil"/>
              <w:left w:val="nil"/>
              <w:bottom w:val="single" w:sz="4" w:space="0" w:color="CCCCCC"/>
              <w:right w:val="single" w:sz="4" w:space="0" w:color="CCCCCC"/>
            </w:tcBorders>
            <w:shd w:val="clear" w:color="000000" w:fill="E8F0FB"/>
            <w:vAlign w:val="center"/>
            <w:hideMark/>
          </w:tcPr>
          <w:p w14:paraId="031E54A5"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£50</w:t>
            </w:r>
          </w:p>
        </w:tc>
        <w:tc>
          <w:tcPr>
            <w:tcW w:w="1276" w:type="dxa"/>
            <w:tcBorders>
              <w:top w:val="nil"/>
              <w:left w:val="nil"/>
              <w:bottom w:val="single" w:sz="4" w:space="0" w:color="CCCCCC"/>
              <w:right w:val="single" w:sz="4" w:space="0" w:color="CCCCCC"/>
            </w:tcBorders>
            <w:shd w:val="clear" w:color="000000" w:fill="E8F0FB"/>
            <w:vAlign w:val="center"/>
            <w:hideMark/>
          </w:tcPr>
          <w:p w14:paraId="3DA1F47D"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£1,345</w:t>
            </w:r>
          </w:p>
        </w:tc>
        <w:tc>
          <w:tcPr>
            <w:tcW w:w="992" w:type="dxa"/>
            <w:tcBorders>
              <w:top w:val="nil"/>
              <w:left w:val="nil"/>
              <w:bottom w:val="single" w:sz="4" w:space="0" w:color="CCCCCC"/>
              <w:right w:val="single" w:sz="4" w:space="0" w:color="CCCCCC"/>
            </w:tcBorders>
            <w:shd w:val="clear" w:color="000000" w:fill="E8F0FB"/>
            <w:vAlign w:val="center"/>
            <w:hideMark/>
          </w:tcPr>
          <w:p w14:paraId="092D423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£525</w:t>
            </w:r>
          </w:p>
        </w:tc>
        <w:tc>
          <w:tcPr>
            <w:tcW w:w="992" w:type="dxa"/>
            <w:tcBorders>
              <w:top w:val="nil"/>
              <w:left w:val="nil"/>
              <w:bottom w:val="single" w:sz="4" w:space="0" w:color="CCCCCC"/>
              <w:right w:val="single" w:sz="4" w:space="0" w:color="CCCCCC"/>
            </w:tcBorders>
            <w:shd w:val="clear" w:color="000000" w:fill="E8F0FB"/>
            <w:vAlign w:val="center"/>
            <w:hideMark/>
          </w:tcPr>
          <w:p w14:paraId="2853256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120</w:t>
            </w:r>
          </w:p>
        </w:tc>
        <w:tc>
          <w:tcPr>
            <w:tcW w:w="1134" w:type="dxa"/>
            <w:tcBorders>
              <w:top w:val="nil"/>
              <w:left w:val="nil"/>
              <w:bottom w:val="single" w:sz="4" w:space="0" w:color="CCCCCC"/>
              <w:right w:val="single" w:sz="4" w:space="0" w:color="CCCCCC"/>
            </w:tcBorders>
            <w:shd w:val="clear" w:color="000000" w:fill="E8F0FB"/>
            <w:vAlign w:val="center"/>
            <w:hideMark/>
          </w:tcPr>
          <w:p w14:paraId="18CEDB4E"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£110</w:t>
            </w:r>
          </w:p>
        </w:tc>
        <w:tc>
          <w:tcPr>
            <w:tcW w:w="851" w:type="dxa"/>
            <w:tcBorders>
              <w:top w:val="nil"/>
              <w:left w:val="nil"/>
              <w:bottom w:val="single" w:sz="4" w:space="0" w:color="CCCCCC"/>
              <w:right w:val="single" w:sz="4" w:space="0" w:color="CCCCCC"/>
            </w:tcBorders>
            <w:shd w:val="clear" w:color="000000" w:fill="E8F0FB"/>
            <w:vAlign w:val="center"/>
            <w:hideMark/>
          </w:tcPr>
          <w:p w14:paraId="52BFEE9D"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8.5</w:t>
            </w:r>
          </w:p>
        </w:tc>
        <w:tc>
          <w:tcPr>
            <w:tcW w:w="850" w:type="dxa"/>
            <w:tcBorders>
              <w:top w:val="single" w:sz="4" w:space="0" w:color="CCCCCC"/>
              <w:left w:val="single" w:sz="4" w:space="0" w:color="CCCCCC"/>
              <w:bottom w:val="single" w:sz="4" w:space="0" w:color="CCCCCC"/>
              <w:right w:val="single" w:sz="4" w:space="0" w:color="CCCCCC"/>
            </w:tcBorders>
            <w:shd w:val="clear" w:color="000000" w:fill="B1D580"/>
            <w:vAlign w:val="center"/>
            <w:hideMark/>
          </w:tcPr>
          <w:p w14:paraId="2831EE7A"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82</w:t>
            </w:r>
          </w:p>
        </w:tc>
      </w:tr>
      <w:tr w:rsidR="005D566A" w:rsidRPr="005D566A" w14:paraId="2D08100E"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FFFFFF"/>
            <w:vAlign w:val="center"/>
            <w:hideMark/>
          </w:tcPr>
          <w:p w14:paraId="125DEE50"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4</w:t>
            </w:r>
          </w:p>
        </w:tc>
        <w:tc>
          <w:tcPr>
            <w:tcW w:w="1135" w:type="dxa"/>
            <w:tcBorders>
              <w:top w:val="nil"/>
              <w:left w:val="nil"/>
              <w:bottom w:val="single" w:sz="4" w:space="0" w:color="CCCCCC"/>
              <w:right w:val="single" w:sz="4" w:space="0" w:color="CCCCCC"/>
            </w:tcBorders>
            <w:shd w:val="clear" w:color="000000" w:fill="FFFFFF"/>
            <w:vAlign w:val="center"/>
            <w:hideMark/>
          </w:tcPr>
          <w:p w14:paraId="388C1DD9"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Georgia</w:t>
            </w:r>
          </w:p>
        </w:tc>
        <w:tc>
          <w:tcPr>
            <w:tcW w:w="992" w:type="dxa"/>
            <w:tcBorders>
              <w:top w:val="nil"/>
              <w:left w:val="nil"/>
              <w:bottom w:val="single" w:sz="4" w:space="0" w:color="CCCCCC"/>
              <w:right w:val="single" w:sz="4" w:space="0" w:color="CCCCCC"/>
            </w:tcBorders>
            <w:shd w:val="clear" w:color="000000" w:fill="FFFFFF"/>
            <w:vAlign w:val="center"/>
            <w:hideMark/>
          </w:tcPr>
          <w:p w14:paraId="7261DCCE"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FFFFFF"/>
            <w:vAlign w:val="center"/>
            <w:hideMark/>
          </w:tcPr>
          <w:p w14:paraId="2F60B5E9"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£0</w:t>
            </w:r>
          </w:p>
        </w:tc>
        <w:tc>
          <w:tcPr>
            <w:tcW w:w="1134" w:type="dxa"/>
            <w:tcBorders>
              <w:top w:val="nil"/>
              <w:left w:val="nil"/>
              <w:bottom w:val="single" w:sz="4" w:space="0" w:color="CCCCCC"/>
              <w:right w:val="single" w:sz="4" w:space="0" w:color="CCCCCC"/>
            </w:tcBorders>
            <w:shd w:val="clear" w:color="000000" w:fill="FFFFFF"/>
            <w:vAlign w:val="center"/>
            <w:hideMark/>
          </w:tcPr>
          <w:p w14:paraId="2C2F74D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£0</w:t>
            </w:r>
          </w:p>
        </w:tc>
        <w:tc>
          <w:tcPr>
            <w:tcW w:w="1276" w:type="dxa"/>
            <w:tcBorders>
              <w:top w:val="nil"/>
              <w:left w:val="nil"/>
              <w:bottom w:val="single" w:sz="4" w:space="0" w:color="CCCCCC"/>
              <w:right w:val="single" w:sz="4" w:space="0" w:color="CCCCCC"/>
            </w:tcBorders>
            <w:shd w:val="clear" w:color="000000" w:fill="FFFFFF"/>
            <w:vAlign w:val="center"/>
            <w:hideMark/>
          </w:tcPr>
          <w:p w14:paraId="33A2946E"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£895</w:t>
            </w:r>
          </w:p>
        </w:tc>
        <w:tc>
          <w:tcPr>
            <w:tcW w:w="992" w:type="dxa"/>
            <w:tcBorders>
              <w:top w:val="nil"/>
              <w:left w:val="nil"/>
              <w:bottom w:val="single" w:sz="4" w:space="0" w:color="CCCCCC"/>
              <w:right w:val="single" w:sz="4" w:space="0" w:color="CCCCCC"/>
            </w:tcBorders>
            <w:shd w:val="clear" w:color="000000" w:fill="FFFFFF"/>
            <w:vAlign w:val="center"/>
            <w:hideMark/>
          </w:tcPr>
          <w:p w14:paraId="7F25138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£375</w:t>
            </w:r>
          </w:p>
        </w:tc>
        <w:tc>
          <w:tcPr>
            <w:tcW w:w="992" w:type="dxa"/>
            <w:tcBorders>
              <w:top w:val="nil"/>
              <w:left w:val="nil"/>
              <w:bottom w:val="single" w:sz="4" w:space="0" w:color="CCCCCC"/>
              <w:right w:val="single" w:sz="4" w:space="0" w:color="CCCCCC"/>
            </w:tcBorders>
            <w:shd w:val="clear" w:color="000000" w:fill="FFFFFF"/>
            <w:vAlign w:val="center"/>
            <w:hideMark/>
          </w:tcPr>
          <w:p w14:paraId="4C6A2A0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150</w:t>
            </w:r>
          </w:p>
        </w:tc>
        <w:tc>
          <w:tcPr>
            <w:tcW w:w="1134" w:type="dxa"/>
            <w:tcBorders>
              <w:top w:val="nil"/>
              <w:left w:val="nil"/>
              <w:bottom w:val="single" w:sz="4" w:space="0" w:color="CCCCCC"/>
              <w:right w:val="single" w:sz="4" w:space="0" w:color="CCCCCC"/>
            </w:tcBorders>
            <w:shd w:val="clear" w:color="000000" w:fill="FFFFFF"/>
            <w:vAlign w:val="center"/>
            <w:hideMark/>
          </w:tcPr>
          <w:p w14:paraId="1FDA692B"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£75</w:t>
            </w:r>
          </w:p>
        </w:tc>
        <w:tc>
          <w:tcPr>
            <w:tcW w:w="851" w:type="dxa"/>
            <w:tcBorders>
              <w:top w:val="nil"/>
              <w:left w:val="nil"/>
              <w:bottom w:val="single" w:sz="4" w:space="0" w:color="CCCCCC"/>
              <w:right w:val="single" w:sz="4" w:space="0" w:color="CCCCCC"/>
            </w:tcBorders>
            <w:shd w:val="clear" w:color="000000" w:fill="FFFFFF"/>
            <w:vAlign w:val="center"/>
            <w:hideMark/>
          </w:tcPr>
          <w:p w14:paraId="1901535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8.0</w:t>
            </w:r>
          </w:p>
        </w:tc>
        <w:tc>
          <w:tcPr>
            <w:tcW w:w="850" w:type="dxa"/>
            <w:tcBorders>
              <w:top w:val="single" w:sz="4" w:space="0" w:color="CCCCCC"/>
              <w:left w:val="single" w:sz="4" w:space="0" w:color="CCCCCC"/>
              <w:bottom w:val="single" w:sz="4" w:space="0" w:color="CCCCCC"/>
              <w:right w:val="single" w:sz="4" w:space="0" w:color="CCCCCC"/>
            </w:tcBorders>
            <w:shd w:val="clear" w:color="000000" w:fill="BED981"/>
            <w:vAlign w:val="center"/>
            <w:hideMark/>
          </w:tcPr>
          <w:p w14:paraId="62E602D8"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81</w:t>
            </w:r>
          </w:p>
        </w:tc>
      </w:tr>
      <w:tr w:rsidR="005D566A" w:rsidRPr="005D566A" w14:paraId="3AC0C7EC"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E8F0FB"/>
            <w:vAlign w:val="center"/>
            <w:hideMark/>
          </w:tcPr>
          <w:p w14:paraId="295CBF08"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5</w:t>
            </w:r>
          </w:p>
        </w:tc>
        <w:tc>
          <w:tcPr>
            <w:tcW w:w="1135" w:type="dxa"/>
            <w:tcBorders>
              <w:top w:val="nil"/>
              <w:left w:val="nil"/>
              <w:bottom w:val="single" w:sz="4" w:space="0" w:color="CCCCCC"/>
              <w:right w:val="single" w:sz="4" w:space="0" w:color="CCCCCC"/>
            </w:tcBorders>
            <w:shd w:val="clear" w:color="000000" w:fill="E8F0FB"/>
            <w:vAlign w:val="center"/>
            <w:hideMark/>
          </w:tcPr>
          <w:p w14:paraId="6619567E"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Costa Rica</w:t>
            </w:r>
          </w:p>
        </w:tc>
        <w:tc>
          <w:tcPr>
            <w:tcW w:w="992" w:type="dxa"/>
            <w:tcBorders>
              <w:top w:val="nil"/>
              <w:left w:val="nil"/>
              <w:bottom w:val="single" w:sz="4" w:space="0" w:color="CCCCCC"/>
              <w:right w:val="single" w:sz="4" w:space="0" w:color="CCCCCC"/>
            </w:tcBorders>
            <w:shd w:val="clear" w:color="000000" w:fill="E8F0FB"/>
            <w:vAlign w:val="center"/>
            <w:hideMark/>
          </w:tcPr>
          <w:p w14:paraId="75180FA3"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E8F0FB"/>
            <w:vAlign w:val="center"/>
            <w:hideMark/>
          </w:tcPr>
          <w:p w14:paraId="371CE7B0"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£2,240</w:t>
            </w:r>
          </w:p>
        </w:tc>
        <w:tc>
          <w:tcPr>
            <w:tcW w:w="1134" w:type="dxa"/>
            <w:tcBorders>
              <w:top w:val="nil"/>
              <w:left w:val="nil"/>
              <w:bottom w:val="single" w:sz="4" w:space="0" w:color="CCCCCC"/>
              <w:right w:val="single" w:sz="4" w:space="0" w:color="CCCCCC"/>
            </w:tcBorders>
            <w:shd w:val="clear" w:color="000000" w:fill="E8F0FB"/>
            <w:vAlign w:val="center"/>
            <w:hideMark/>
          </w:tcPr>
          <w:p w14:paraId="6AF10DF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£75</w:t>
            </w:r>
          </w:p>
        </w:tc>
        <w:tc>
          <w:tcPr>
            <w:tcW w:w="1276" w:type="dxa"/>
            <w:tcBorders>
              <w:top w:val="nil"/>
              <w:left w:val="nil"/>
              <w:bottom w:val="single" w:sz="4" w:space="0" w:color="CCCCCC"/>
              <w:right w:val="single" w:sz="4" w:space="0" w:color="CCCCCC"/>
            </w:tcBorders>
            <w:shd w:val="clear" w:color="000000" w:fill="E8F0FB"/>
            <w:vAlign w:val="center"/>
            <w:hideMark/>
          </w:tcPr>
          <w:p w14:paraId="3CB2DF4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£1,645</w:t>
            </w:r>
          </w:p>
        </w:tc>
        <w:tc>
          <w:tcPr>
            <w:tcW w:w="992" w:type="dxa"/>
            <w:tcBorders>
              <w:top w:val="nil"/>
              <w:left w:val="nil"/>
              <w:bottom w:val="single" w:sz="4" w:space="0" w:color="CCCCCC"/>
              <w:right w:val="single" w:sz="4" w:space="0" w:color="CCCCCC"/>
            </w:tcBorders>
            <w:shd w:val="clear" w:color="000000" w:fill="E8F0FB"/>
            <w:vAlign w:val="center"/>
            <w:hideMark/>
          </w:tcPr>
          <w:p w14:paraId="352C998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£670</w:t>
            </w:r>
          </w:p>
        </w:tc>
        <w:tc>
          <w:tcPr>
            <w:tcW w:w="992" w:type="dxa"/>
            <w:tcBorders>
              <w:top w:val="nil"/>
              <w:left w:val="nil"/>
              <w:bottom w:val="single" w:sz="4" w:space="0" w:color="CCCCCC"/>
              <w:right w:val="single" w:sz="4" w:space="0" w:color="CCCCCC"/>
            </w:tcBorders>
            <w:shd w:val="clear" w:color="000000" w:fill="E8F0FB"/>
            <w:vAlign w:val="center"/>
            <w:hideMark/>
          </w:tcPr>
          <w:p w14:paraId="0B09ED97"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80</w:t>
            </w:r>
          </w:p>
        </w:tc>
        <w:tc>
          <w:tcPr>
            <w:tcW w:w="1134" w:type="dxa"/>
            <w:tcBorders>
              <w:top w:val="nil"/>
              <w:left w:val="nil"/>
              <w:bottom w:val="single" w:sz="4" w:space="0" w:color="CCCCCC"/>
              <w:right w:val="single" w:sz="4" w:space="0" w:color="CCCCCC"/>
            </w:tcBorders>
            <w:shd w:val="clear" w:color="000000" w:fill="E8F0FB"/>
            <w:vAlign w:val="center"/>
            <w:hideMark/>
          </w:tcPr>
          <w:p w14:paraId="16EC79C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£90</w:t>
            </w:r>
          </w:p>
        </w:tc>
        <w:tc>
          <w:tcPr>
            <w:tcW w:w="851" w:type="dxa"/>
            <w:tcBorders>
              <w:top w:val="nil"/>
              <w:left w:val="nil"/>
              <w:bottom w:val="single" w:sz="4" w:space="0" w:color="CCCCCC"/>
              <w:right w:val="single" w:sz="4" w:space="0" w:color="CCCCCC"/>
            </w:tcBorders>
            <w:shd w:val="clear" w:color="000000" w:fill="E8F0FB"/>
            <w:vAlign w:val="center"/>
            <w:hideMark/>
          </w:tcPr>
          <w:p w14:paraId="0908521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8.5</w:t>
            </w:r>
          </w:p>
        </w:tc>
        <w:tc>
          <w:tcPr>
            <w:tcW w:w="850" w:type="dxa"/>
            <w:tcBorders>
              <w:top w:val="single" w:sz="4" w:space="0" w:color="CCCCCC"/>
              <w:left w:val="single" w:sz="4" w:space="0" w:color="CCCCCC"/>
              <w:bottom w:val="single" w:sz="4" w:space="0" w:color="CCCCCC"/>
              <w:right w:val="single" w:sz="4" w:space="0" w:color="CCCCCC"/>
            </w:tcBorders>
            <w:shd w:val="clear" w:color="000000" w:fill="CCDD82"/>
            <w:vAlign w:val="center"/>
            <w:hideMark/>
          </w:tcPr>
          <w:p w14:paraId="1F41CF77"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80</w:t>
            </w:r>
          </w:p>
        </w:tc>
      </w:tr>
      <w:tr w:rsidR="005D566A" w:rsidRPr="005D566A" w14:paraId="1B07733F"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FFFFFF"/>
            <w:vAlign w:val="center"/>
            <w:hideMark/>
          </w:tcPr>
          <w:p w14:paraId="10C26B59"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6</w:t>
            </w:r>
          </w:p>
        </w:tc>
        <w:tc>
          <w:tcPr>
            <w:tcW w:w="1135" w:type="dxa"/>
            <w:tcBorders>
              <w:top w:val="nil"/>
              <w:left w:val="nil"/>
              <w:bottom w:val="single" w:sz="4" w:space="0" w:color="CCCCCC"/>
              <w:right w:val="single" w:sz="4" w:space="0" w:color="CCCCCC"/>
            </w:tcBorders>
            <w:shd w:val="clear" w:color="000000" w:fill="FFFFFF"/>
            <w:vAlign w:val="center"/>
            <w:hideMark/>
          </w:tcPr>
          <w:p w14:paraId="0D9CFB2B"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Malaysia</w:t>
            </w:r>
          </w:p>
        </w:tc>
        <w:tc>
          <w:tcPr>
            <w:tcW w:w="992" w:type="dxa"/>
            <w:tcBorders>
              <w:top w:val="nil"/>
              <w:left w:val="nil"/>
              <w:bottom w:val="single" w:sz="4" w:space="0" w:color="CCCCCC"/>
              <w:right w:val="single" w:sz="4" w:space="0" w:color="CCCCCC"/>
            </w:tcBorders>
            <w:shd w:val="clear" w:color="000000" w:fill="FFFFFF"/>
            <w:vAlign w:val="center"/>
            <w:hideMark/>
          </w:tcPr>
          <w:p w14:paraId="5A5C5F2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FFFFFF"/>
            <w:vAlign w:val="center"/>
            <w:hideMark/>
          </w:tcPr>
          <w:p w14:paraId="24BC819E"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£1,495</w:t>
            </w:r>
          </w:p>
        </w:tc>
        <w:tc>
          <w:tcPr>
            <w:tcW w:w="1134" w:type="dxa"/>
            <w:tcBorders>
              <w:top w:val="nil"/>
              <w:left w:val="nil"/>
              <w:bottom w:val="single" w:sz="4" w:space="0" w:color="CCCCCC"/>
              <w:right w:val="single" w:sz="4" w:space="0" w:color="CCCCCC"/>
            </w:tcBorders>
            <w:shd w:val="clear" w:color="000000" w:fill="FFFFFF"/>
            <w:vAlign w:val="center"/>
            <w:hideMark/>
          </w:tcPr>
          <w:p w14:paraId="6EC5415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£160</w:t>
            </w:r>
          </w:p>
        </w:tc>
        <w:tc>
          <w:tcPr>
            <w:tcW w:w="1276" w:type="dxa"/>
            <w:tcBorders>
              <w:top w:val="nil"/>
              <w:left w:val="nil"/>
              <w:bottom w:val="single" w:sz="4" w:space="0" w:color="CCCCCC"/>
              <w:right w:val="single" w:sz="4" w:space="0" w:color="CCCCCC"/>
            </w:tcBorders>
            <w:shd w:val="clear" w:color="000000" w:fill="FFFFFF"/>
            <w:vAlign w:val="center"/>
            <w:hideMark/>
          </w:tcPr>
          <w:p w14:paraId="2067C61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£1,120</w:t>
            </w:r>
          </w:p>
        </w:tc>
        <w:tc>
          <w:tcPr>
            <w:tcW w:w="992" w:type="dxa"/>
            <w:tcBorders>
              <w:top w:val="nil"/>
              <w:left w:val="nil"/>
              <w:bottom w:val="single" w:sz="4" w:space="0" w:color="CCCCCC"/>
              <w:right w:val="single" w:sz="4" w:space="0" w:color="CCCCCC"/>
            </w:tcBorders>
            <w:shd w:val="clear" w:color="000000" w:fill="FFFFFF"/>
            <w:vAlign w:val="center"/>
            <w:hideMark/>
          </w:tcPr>
          <w:p w14:paraId="482788B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£375</w:t>
            </w:r>
          </w:p>
        </w:tc>
        <w:tc>
          <w:tcPr>
            <w:tcW w:w="992" w:type="dxa"/>
            <w:tcBorders>
              <w:top w:val="nil"/>
              <w:left w:val="nil"/>
              <w:bottom w:val="single" w:sz="4" w:space="0" w:color="CCCCCC"/>
              <w:right w:val="single" w:sz="4" w:space="0" w:color="CCCCCC"/>
            </w:tcBorders>
            <w:shd w:val="clear" w:color="000000" w:fill="FFFFFF"/>
            <w:vAlign w:val="center"/>
            <w:hideMark/>
          </w:tcPr>
          <w:p w14:paraId="2FB4DA4E"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100</w:t>
            </w:r>
          </w:p>
        </w:tc>
        <w:tc>
          <w:tcPr>
            <w:tcW w:w="1134" w:type="dxa"/>
            <w:tcBorders>
              <w:top w:val="nil"/>
              <w:left w:val="nil"/>
              <w:bottom w:val="single" w:sz="4" w:space="0" w:color="CCCCCC"/>
              <w:right w:val="single" w:sz="4" w:space="0" w:color="CCCCCC"/>
            </w:tcBorders>
            <w:shd w:val="clear" w:color="000000" w:fill="FFFFFF"/>
            <w:vAlign w:val="center"/>
            <w:hideMark/>
          </w:tcPr>
          <w:p w14:paraId="4827A58C"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£110</w:t>
            </w:r>
          </w:p>
        </w:tc>
        <w:tc>
          <w:tcPr>
            <w:tcW w:w="851" w:type="dxa"/>
            <w:tcBorders>
              <w:top w:val="nil"/>
              <w:left w:val="nil"/>
              <w:bottom w:val="single" w:sz="4" w:space="0" w:color="CCCCCC"/>
              <w:right w:val="single" w:sz="4" w:space="0" w:color="CCCCCC"/>
            </w:tcBorders>
            <w:shd w:val="clear" w:color="000000" w:fill="FFFFFF"/>
            <w:vAlign w:val="center"/>
            <w:hideMark/>
          </w:tcPr>
          <w:p w14:paraId="3406C314"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8.0</w:t>
            </w:r>
          </w:p>
        </w:tc>
        <w:tc>
          <w:tcPr>
            <w:tcW w:w="850" w:type="dxa"/>
            <w:tcBorders>
              <w:top w:val="single" w:sz="4" w:space="0" w:color="CCCCCC"/>
              <w:left w:val="single" w:sz="4" w:space="0" w:color="CCCCCC"/>
              <w:bottom w:val="single" w:sz="4" w:space="0" w:color="CCCCCC"/>
              <w:right w:val="single" w:sz="4" w:space="0" w:color="CCCCCC"/>
            </w:tcBorders>
            <w:shd w:val="clear" w:color="000000" w:fill="E5E483"/>
            <w:vAlign w:val="center"/>
            <w:hideMark/>
          </w:tcPr>
          <w:p w14:paraId="02769A3B"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78</w:t>
            </w:r>
          </w:p>
        </w:tc>
      </w:tr>
      <w:tr w:rsidR="005D566A" w:rsidRPr="005D566A" w14:paraId="40FDA858"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E8F0FB"/>
            <w:vAlign w:val="center"/>
            <w:hideMark/>
          </w:tcPr>
          <w:p w14:paraId="07DCF901"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7</w:t>
            </w:r>
          </w:p>
        </w:tc>
        <w:tc>
          <w:tcPr>
            <w:tcW w:w="1135" w:type="dxa"/>
            <w:tcBorders>
              <w:top w:val="nil"/>
              <w:left w:val="nil"/>
              <w:bottom w:val="single" w:sz="4" w:space="0" w:color="CCCCCC"/>
              <w:right w:val="single" w:sz="4" w:space="0" w:color="CCCCCC"/>
            </w:tcBorders>
            <w:shd w:val="clear" w:color="000000" w:fill="E8F0FB"/>
            <w:vAlign w:val="center"/>
            <w:hideMark/>
          </w:tcPr>
          <w:p w14:paraId="43495FEC"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Greece</w:t>
            </w:r>
          </w:p>
        </w:tc>
        <w:tc>
          <w:tcPr>
            <w:tcW w:w="992" w:type="dxa"/>
            <w:tcBorders>
              <w:top w:val="nil"/>
              <w:left w:val="nil"/>
              <w:bottom w:val="single" w:sz="4" w:space="0" w:color="CCCCCC"/>
              <w:right w:val="single" w:sz="4" w:space="0" w:color="CCCCCC"/>
            </w:tcBorders>
            <w:shd w:val="clear" w:color="000000" w:fill="E8F0FB"/>
            <w:vAlign w:val="center"/>
            <w:hideMark/>
          </w:tcPr>
          <w:p w14:paraId="70F1C24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E8F0FB"/>
            <w:vAlign w:val="center"/>
            <w:hideMark/>
          </w:tcPr>
          <w:p w14:paraId="05B77DC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£2,615</w:t>
            </w:r>
          </w:p>
        </w:tc>
        <w:tc>
          <w:tcPr>
            <w:tcW w:w="1134" w:type="dxa"/>
            <w:tcBorders>
              <w:top w:val="nil"/>
              <w:left w:val="nil"/>
              <w:bottom w:val="single" w:sz="4" w:space="0" w:color="CCCCCC"/>
              <w:right w:val="single" w:sz="4" w:space="0" w:color="CCCCCC"/>
            </w:tcBorders>
            <w:shd w:val="clear" w:color="000000" w:fill="E8F0FB"/>
            <w:vAlign w:val="center"/>
            <w:hideMark/>
          </w:tcPr>
          <w:p w14:paraId="6B602C1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£55</w:t>
            </w:r>
          </w:p>
        </w:tc>
        <w:tc>
          <w:tcPr>
            <w:tcW w:w="1276" w:type="dxa"/>
            <w:tcBorders>
              <w:top w:val="nil"/>
              <w:left w:val="nil"/>
              <w:bottom w:val="single" w:sz="4" w:space="0" w:color="CCCCCC"/>
              <w:right w:val="single" w:sz="4" w:space="0" w:color="CCCCCC"/>
            </w:tcBorders>
            <w:shd w:val="clear" w:color="000000" w:fill="E8F0FB"/>
            <w:vAlign w:val="center"/>
            <w:hideMark/>
          </w:tcPr>
          <w:p w14:paraId="6388DD3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£1,345</w:t>
            </w:r>
          </w:p>
        </w:tc>
        <w:tc>
          <w:tcPr>
            <w:tcW w:w="992" w:type="dxa"/>
            <w:tcBorders>
              <w:top w:val="nil"/>
              <w:left w:val="nil"/>
              <w:bottom w:val="single" w:sz="4" w:space="0" w:color="CCCCCC"/>
              <w:right w:val="single" w:sz="4" w:space="0" w:color="CCCCCC"/>
            </w:tcBorders>
            <w:shd w:val="clear" w:color="000000" w:fill="E8F0FB"/>
            <w:vAlign w:val="center"/>
            <w:hideMark/>
          </w:tcPr>
          <w:p w14:paraId="149BD69C"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£525</w:t>
            </w:r>
          </w:p>
        </w:tc>
        <w:tc>
          <w:tcPr>
            <w:tcW w:w="992" w:type="dxa"/>
            <w:tcBorders>
              <w:top w:val="nil"/>
              <w:left w:val="nil"/>
              <w:bottom w:val="single" w:sz="4" w:space="0" w:color="CCCCCC"/>
              <w:right w:val="single" w:sz="4" w:space="0" w:color="CCCCCC"/>
            </w:tcBorders>
            <w:shd w:val="clear" w:color="000000" w:fill="E8F0FB"/>
            <w:vAlign w:val="center"/>
            <w:hideMark/>
          </w:tcPr>
          <w:p w14:paraId="3984DEA9"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100</w:t>
            </w:r>
          </w:p>
        </w:tc>
        <w:tc>
          <w:tcPr>
            <w:tcW w:w="1134" w:type="dxa"/>
            <w:tcBorders>
              <w:top w:val="nil"/>
              <w:left w:val="nil"/>
              <w:bottom w:val="single" w:sz="4" w:space="0" w:color="CCCCCC"/>
              <w:right w:val="single" w:sz="4" w:space="0" w:color="CCCCCC"/>
            </w:tcBorders>
            <w:shd w:val="clear" w:color="000000" w:fill="E8F0FB"/>
            <w:vAlign w:val="center"/>
            <w:hideMark/>
          </w:tcPr>
          <w:p w14:paraId="395ED7E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£105</w:t>
            </w:r>
          </w:p>
        </w:tc>
        <w:tc>
          <w:tcPr>
            <w:tcW w:w="851" w:type="dxa"/>
            <w:tcBorders>
              <w:top w:val="nil"/>
              <w:left w:val="nil"/>
              <w:bottom w:val="single" w:sz="4" w:space="0" w:color="CCCCCC"/>
              <w:right w:val="single" w:sz="4" w:space="0" w:color="CCCCCC"/>
            </w:tcBorders>
            <w:shd w:val="clear" w:color="000000" w:fill="E8F0FB"/>
            <w:vAlign w:val="center"/>
            <w:hideMark/>
          </w:tcPr>
          <w:p w14:paraId="068CAE74"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9.0</w:t>
            </w:r>
          </w:p>
        </w:tc>
        <w:tc>
          <w:tcPr>
            <w:tcW w:w="850" w:type="dxa"/>
            <w:tcBorders>
              <w:top w:val="single" w:sz="4" w:space="0" w:color="CCCCCC"/>
              <w:left w:val="single" w:sz="4" w:space="0" w:color="CCCCCC"/>
              <w:bottom w:val="single" w:sz="4" w:space="0" w:color="CCCCCC"/>
              <w:right w:val="single" w:sz="4" w:space="0" w:color="CCCCCC"/>
            </w:tcBorders>
            <w:shd w:val="clear" w:color="000000" w:fill="F3E884"/>
            <w:vAlign w:val="center"/>
            <w:hideMark/>
          </w:tcPr>
          <w:p w14:paraId="5E0D5834"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77</w:t>
            </w:r>
          </w:p>
        </w:tc>
      </w:tr>
      <w:tr w:rsidR="005D566A" w:rsidRPr="005D566A" w14:paraId="3EF6B18C" w14:textId="77777777" w:rsidTr="006A0DD9">
        <w:trPr>
          <w:trHeight w:val="86"/>
        </w:trPr>
        <w:tc>
          <w:tcPr>
            <w:tcW w:w="709" w:type="dxa"/>
            <w:tcBorders>
              <w:top w:val="nil"/>
              <w:left w:val="single" w:sz="4" w:space="0" w:color="CCCCCC"/>
              <w:bottom w:val="single" w:sz="4" w:space="0" w:color="CCCCCC"/>
              <w:right w:val="single" w:sz="4" w:space="0" w:color="CCCCCC"/>
            </w:tcBorders>
            <w:shd w:val="clear" w:color="000000" w:fill="FFFFFF"/>
            <w:vAlign w:val="center"/>
            <w:hideMark/>
          </w:tcPr>
          <w:p w14:paraId="5E300F8F"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8</w:t>
            </w:r>
          </w:p>
        </w:tc>
        <w:tc>
          <w:tcPr>
            <w:tcW w:w="1135" w:type="dxa"/>
            <w:tcBorders>
              <w:top w:val="nil"/>
              <w:left w:val="nil"/>
              <w:bottom w:val="single" w:sz="4" w:space="0" w:color="CCCCCC"/>
              <w:right w:val="single" w:sz="4" w:space="0" w:color="CCCCCC"/>
            </w:tcBorders>
            <w:shd w:val="clear" w:color="000000" w:fill="FFFFFF"/>
            <w:vAlign w:val="center"/>
            <w:hideMark/>
          </w:tcPr>
          <w:p w14:paraId="74D1C7BF"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Colombia</w:t>
            </w:r>
          </w:p>
        </w:tc>
        <w:tc>
          <w:tcPr>
            <w:tcW w:w="992" w:type="dxa"/>
            <w:tcBorders>
              <w:top w:val="nil"/>
              <w:left w:val="nil"/>
              <w:bottom w:val="single" w:sz="4" w:space="0" w:color="CCCCCC"/>
              <w:right w:val="single" w:sz="4" w:space="0" w:color="CCCCCC"/>
            </w:tcBorders>
            <w:shd w:val="clear" w:color="000000" w:fill="FFFFFF"/>
            <w:vAlign w:val="center"/>
            <w:hideMark/>
          </w:tcPr>
          <w:p w14:paraId="2EE8F2A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24</w:t>
            </w:r>
          </w:p>
        </w:tc>
        <w:tc>
          <w:tcPr>
            <w:tcW w:w="1276" w:type="dxa"/>
            <w:tcBorders>
              <w:top w:val="nil"/>
              <w:left w:val="nil"/>
              <w:bottom w:val="single" w:sz="4" w:space="0" w:color="CCCCCC"/>
              <w:right w:val="single" w:sz="4" w:space="0" w:color="CCCCCC"/>
            </w:tcBorders>
            <w:shd w:val="clear" w:color="000000" w:fill="FFFFFF"/>
            <w:vAlign w:val="center"/>
            <w:hideMark/>
          </w:tcPr>
          <w:p w14:paraId="39B2E6A3"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£510</w:t>
            </w:r>
          </w:p>
        </w:tc>
        <w:tc>
          <w:tcPr>
            <w:tcW w:w="1134" w:type="dxa"/>
            <w:tcBorders>
              <w:top w:val="nil"/>
              <w:left w:val="nil"/>
              <w:bottom w:val="single" w:sz="4" w:space="0" w:color="CCCCCC"/>
              <w:right w:val="single" w:sz="4" w:space="0" w:color="CCCCCC"/>
            </w:tcBorders>
            <w:shd w:val="clear" w:color="000000" w:fill="FFFFFF"/>
            <w:vAlign w:val="center"/>
            <w:hideMark/>
          </w:tcPr>
          <w:p w14:paraId="1F46C47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£0</w:t>
            </w:r>
          </w:p>
        </w:tc>
        <w:tc>
          <w:tcPr>
            <w:tcW w:w="1276" w:type="dxa"/>
            <w:tcBorders>
              <w:top w:val="nil"/>
              <w:left w:val="nil"/>
              <w:bottom w:val="single" w:sz="4" w:space="0" w:color="CCCCCC"/>
              <w:right w:val="single" w:sz="4" w:space="0" w:color="CCCCCC"/>
            </w:tcBorders>
            <w:shd w:val="clear" w:color="000000" w:fill="FFFFFF"/>
            <w:vAlign w:val="center"/>
            <w:hideMark/>
          </w:tcPr>
          <w:p w14:paraId="78ED085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£1,045</w:t>
            </w:r>
          </w:p>
        </w:tc>
        <w:tc>
          <w:tcPr>
            <w:tcW w:w="992" w:type="dxa"/>
            <w:tcBorders>
              <w:top w:val="nil"/>
              <w:left w:val="nil"/>
              <w:bottom w:val="single" w:sz="4" w:space="0" w:color="CCCCCC"/>
              <w:right w:val="single" w:sz="4" w:space="0" w:color="CCCCCC"/>
            </w:tcBorders>
            <w:shd w:val="clear" w:color="000000" w:fill="FFFFFF"/>
            <w:vAlign w:val="center"/>
            <w:hideMark/>
          </w:tcPr>
          <w:p w14:paraId="3865C10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£450</w:t>
            </w:r>
          </w:p>
        </w:tc>
        <w:tc>
          <w:tcPr>
            <w:tcW w:w="992" w:type="dxa"/>
            <w:tcBorders>
              <w:top w:val="nil"/>
              <w:left w:val="nil"/>
              <w:bottom w:val="single" w:sz="4" w:space="0" w:color="CCCCCC"/>
              <w:right w:val="single" w:sz="4" w:space="0" w:color="CCCCCC"/>
            </w:tcBorders>
            <w:shd w:val="clear" w:color="000000" w:fill="FFFFFF"/>
            <w:vAlign w:val="center"/>
            <w:hideMark/>
          </w:tcPr>
          <w:p w14:paraId="32AB1810"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80</w:t>
            </w:r>
          </w:p>
        </w:tc>
        <w:tc>
          <w:tcPr>
            <w:tcW w:w="1134" w:type="dxa"/>
            <w:tcBorders>
              <w:top w:val="nil"/>
              <w:left w:val="nil"/>
              <w:bottom w:val="single" w:sz="4" w:space="0" w:color="CCCCCC"/>
              <w:right w:val="single" w:sz="4" w:space="0" w:color="CCCCCC"/>
            </w:tcBorders>
            <w:shd w:val="clear" w:color="000000" w:fill="FFFFFF"/>
            <w:vAlign w:val="center"/>
            <w:hideMark/>
          </w:tcPr>
          <w:p w14:paraId="68C6F494"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£75</w:t>
            </w:r>
          </w:p>
        </w:tc>
        <w:tc>
          <w:tcPr>
            <w:tcW w:w="851" w:type="dxa"/>
            <w:tcBorders>
              <w:top w:val="nil"/>
              <w:left w:val="nil"/>
              <w:bottom w:val="single" w:sz="4" w:space="0" w:color="CCCCCC"/>
              <w:right w:val="single" w:sz="4" w:space="0" w:color="CCCCCC"/>
            </w:tcBorders>
            <w:shd w:val="clear" w:color="000000" w:fill="FFFFFF"/>
            <w:vAlign w:val="center"/>
            <w:hideMark/>
          </w:tcPr>
          <w:p w14:paraId="33A1B8A5"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8.0</w:t>
            </w:r>
          </w:p>
        </w:tc>
        <w:tc>
          <w:tcPr>
            <w:tcW w:w="850" w:type="dxa"/>
            <w:tcBorders>
              <w:top w:val="single" w:sz="4" w:space="0" w:color="CCCCCC"/>
              <w:left w:val="single" w:sz="4" w:space="0" w:color="CCCCCC"/>
              <w:bottom w:val="single" w:sz="4" w:space="0" w:color="CCCCCC"/>
              <w:right w:val="single" w:sz="4" w:space="0" w:color="CCCCCC"/>
            </w:tcBorders>
            <w:shd w:val="clear" w:color="000000" w:fill="FFEB84"/>
            <w:vAlign w:val="center"/>
            <w:hideMark/>
          </w:tcPr>
          <w:p w14:paraId="5E35547A"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76</w:t>
            </w:r>
          </w:p>
        </w:tc>
      </w:tr>
      <w:tr w:rsidR="005D566A" w:rsidRPr="005D566A" w14:paraId="13EB06A1" w14:textId="77777777" w:rsidTr="006A0DD9">
        <w:trPr>
          <w:trHeight w:val="131"/>
        </w:trPr>
        <w:tc>
          <w:tcPr>
            <w:tcW w:w="709" w:type="dxa"/>
            <w:tcBorders>
              <w:top w:val="nil"/>
              <w:left w:val="single" w:sz="4" w:space="0" w:color="CCCCCC"/>
              <w:bottom w:val="single" w:sz="4" w:space="0" w:color="CCCCCC"/>
              <w:right w:val="single" w:sz="4" w:space="0" w:color="CCCCCC"/>
            </w:tcBorders>
            <w:shd w:val="clear" w:color="000000" w:fill="E8F0FB"/>
            <w:vAlign w:val="center"/>
            <w:hideMark/>
          </w:tcPr>
          <w:p w14:paraId="190630E9"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9</w:t>
            </w:r>
          </w:p>
        </w:tc>
        <w:tc>
          <w:tcPr>
            <w:tcW w:w="1135" w:type="dxa"/>
            <w:tcBorders>
              <w:top w:val="nil"/>
              <w:left w:val="nil"/>
              <w:bottom w:val="single" w:sz="4" w:space="0" w:color="CCCCCC"/>
              <w:right w:val="single" w:sz="4" w:space="0" w:color="CCCCCC"/>
            </w:tcBorders>
            <w:shd w:val="clear" w:color="000000" w:fill="E8F0FB"/>
            <w:vAlign w:val="center"/>
            <w:hideMark/>
          </w:tcPr>
          <w:p w14:paraId="1D8F2773"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Estonia</w:t>
            </w:r>
          </w:p>
        </w:tc>
        <w:tc>
          <w:tcPr>
            <w:tcW w:w="992" w:type="dxa"/>
            <w:tcBorders>
              <w:top w:val="nil"/>
              <w:left w:val="nil"/>
              <w:bottom w:val="single" w:sz="4" w:space="0" w:color="CCCCCC"/>
              <w:right w:val="single" w:sz="4" w:space="0" w:color="CCCCCC"/>
            </w:tcBorders>
            <w:shd w:val="clear" w:color="000000" w:fill="E8F0FB"/>
            <w:vAlign w:val="center"/>
            <w:hideMark/>
          </w:tcPr>
          <w:p w14:paraId="17E92139"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E8F0FB"/>
            <w:vAlign w:val="center"/>
            <w:hideMark/>
          </w:tcPr>
          <w:p w14:paraId="65AC554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£3,360</w:t>
            </w:r>
          </w:p>
        </w:tc>
        <w:tc>
          <w:tcPr>
            <w:tcW w:w="1134" w:type="dxa"/>
            <w:tcBorders>
              <w:top w:val="nil"/>
              <w:left w:val="nil"/>
              <w:bottom w:val="single" w:sz="4" w:space="0" w:color="CCCCCC"/>
              <w:right w:val="single" w:sz="4" w:space="0" w:color="CCCCCC"/>
            </w:tcBorders>
            <w:shd w:val="clear" w:color="000000" w:fill="E8F0FB"/>
            <w:vAlign w:val="center"/>
            <w:hideMark/>
          </w:tcPr>
          <w:p w14:paraId="1F4F9EBE"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£75</w:t>
            </w:r>
          </w:p>
        </w:tc>
        <w:tc>
          <w:tcPr>
            <w:tcW w:w="1276" w:type="dxa"/>
            <w:tcBorders>
              <w:top w:val="nil"/>
              <w:left w:val="nil"/>
              <w:bottom w:val="single" w:sz="4" w:space="0" w:color="CCCCCC"/>
              <w:right w:val="single" w:sz="4" w:space="0" w:color="CCCCCC"/>
            </w:tcBorders>
            <w:shd w:val="clear" w:color="000000" w:fill="E8F0FB"/>
            <w:vAlign w:val="center"/>
            <w:hideMark/>
          </w:tcPr>
          <w:p w14:paraId="4C89A9B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£1,045</w:t>
            </w:r>
          </w:p>
        </w:tc>
        <w:tc>
          <w:tcPr>
            <w:tcW w:w="992" w:type="dxa"/>
            <w:tcBorders>
              <w:top w:val="nil"/>
              <w:left w:val="nil"/>
              <w:bottom w:val="single" w:sz="4" w:space="0" w:color="CCCCCC"/>
              <w:right w:val="single" w:sz="4" w:space="0" w:color="CCCCCC"/>
            </w:tcBorders>
            <w:shd w:val="clear" w:color="000000" w:fill="E8F0FB"/>
            <w:vAlign w:val="center"/>
            <w:hideMark/>
          </w:tcPr>
          <w:p w14:paraId="58412214"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£525</w:t>
            </w:r>
          </w:p>
        </w:tc>
        <w:tc>
          <w:tcPr>
            <w:tcW w:w="992" w:type="dxa"/>
            <w:tcBorders>
              <w:top w:val="nil"/>
              <w:left w:val="nil"/>
              <w:bottom w:val="single" w:sz="4" w:space="0" w:color="CCCCCC"/>
              <w:right w:val="single" w:sz="4" w:space="0" w:color="CCCCCC"/>
            </w:tcBorders>
            <w:shd w:val="clear" w:color="000000" w:fill="E8F0FB"/>
            <w:vAlign w:val="center"/>
            <w:hideMark/>
          </w:tcPr>
          <w:p w14:paraId="55C54D7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200</w:t>
            </w:r>
          </w:p>
        </w:tc>
        <w:tc>
          <w:tcPr>
            <w:tcW w:w="1134" w:type="dxa"/>
            <w:tcBorders>
              <w:top w:val="nil"/>
              <w:left w:val="nil"/>
              <w:bottom w:val="single" w:sz="4" w:space="0" w:color="CCCCCC"/>
              <w:right w:val="single" w:sz="4" w:space="0" w:color="CCCCCC"/>
            </w:tcBorders>
            <w:shd w:val="clear" w:color="000000" w:fill="E8F0FB"/>
            <w:vAlign w:val="center"/>
            <w:hideMark/>
          </w:tcPr>
          <w:p w14:paraId="0D3A36F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£150</w:t>
            </w:r>
          </w:p>
        </w:tc>
        <w:tc>
          <w:tcPr>
            <w:tcW w:w="851" w:type="dxa"/>
            <w:tcBorders>
              <w:top w:val="nil"/>
              <w:left w:val="nil"/>
              <w:bottom w:val="single" w:sz="4" w:space="0" w:color="CCCCCC"/>
              <w:right w:val="single" w:sz="4" w:space="0" w:color="CCCCCC"/>
            </w:tcBorders>
            <w:shd w:val="clear" w:color="000000" w:fill="E8F0FB"/>
            <w:vAlign w:val="center"/>
            <w:hideMark/>
          </w:tcPr>
          <w:p w14:paraId="0D5B3597"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8.5</w:t>
            </w:r>
          </w:p>
        </w:tc>
        <w:tc>
          <w:tcPr>
            <w:tcW w:w="850" w:type="dxa"/>
            <w:tcBorders>
              <w:top w:val="single" w:sz="4" w:space="0" w:color="CCCCCC"/>
              <w:left w:val="single" w:sz="4" w:space="0" w:color="CCCCCC"/>
              <w:bottom w:val="single" w:sz="4" w:space="0" w:color="CCCCCC"/>
              <w:right w:val="single" w:sz="4" w:space="0" w:color="CCCCCC"/>
            </w:tcBorders>
            <w:shd w:val="clear" w:color="000000" w:fill="FEDC81"/>
            <w:vAlign w:val="center"/>
            <w:hideMark/>
          </w:tcPr>
          <w:p w14:paraId="7F239A7F"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75</w:t>
            </w:r>
          </w:p>
        </w:tc>
      </w:tr>
      <w:tr w:rsidR="005D566A" w:rsidRPr="005D566A" w14:paraId="56C106F6"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FFFFFF"/>
            <w:vAlign w:val="center"/>
            <w:hideMark/>
          </w:tcPr>
          <w:p w14:paraId="3A6A1825"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10</w:t>
            </w:r>
          </w:p>
        </w:tc>
        <w:tc>
          <w:tcPr>
            <w:tcW w:w="1135" w:type="dxa"/>
            <w:tcBorders>
              <w:top w:val="nil"/>
              <w:left w:val="nil"/>
              <w:bottom w:val="single" w:sz="4" w:space="0" w:color="CCCCCC"/>
              <w:right w:val="single" w:sz="4" w:space="0" w:color="CCCCCC"/>
            </w:tcBorders>
            <w:shd w:val="clear" w:color="000000" w:fill="FFFFFF"/>
            <w:vAlign w:val="center"/>
            <w:hideMark/>
          </w:tcPr>
          <w:p w14:paraId="132D0C20"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Indonesia</w:t>
            </w:r>
          </w:p>
        </w:tc>
        <w:tc>
          <w:tcPr>
            <w:tcW w:w="992" w:type="dxa"/>
            <w:tcBorders>
              <w:top w:val="nil"/>
              <w:left w:val="nil"/>
              <w:bottom w:val="single" w:sz="4" w:space="0" w:color="CCCCCC"/>
              <w:right w:val="single" w:sz="4" w:space="0" w:color="CCCCCC"/>
            </w:tcBorders>
            <w:shd w:val="clear" w:color="000000" w:fill="FFFFFF"/>
            <w:vAlign w:val="center"/>
            <w:hideMark/>
          </w:tcPr>
          <w:p w14:paraId="4236E27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FFFFFF"/>
            <w:vAlign w:val="center"/>
            <w:hideMark/>
          </w:tcPr>
          <w:p w14:paraId="4E99F97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£3,735</w:t>
            </w:r>
          </w:p>
        </w:tc>
        <w:tc>
          <w:tcPr>
            <w:tcW w:w="1134" w:type="dxa"/>
            <w:tcBorders>
              <w:top w:val="nil"/>
              <w:left w:val="nil"/>
              <w:bottom w:val="single" w:sz="4" w:space="0" w:color="CCCCCC"/>
              <w:right w:val="single" w:sz="4" w:space="0" w:color="CCCCCC"/>
            </w:tcBorders>
            <w:shd w:val="clear" w:color="000000" w:fill="FFFFFF"/>
            <w:vAlign w:val="center"/>
            <w:hideMark/>
          </w:tcPr>
          <w:p w14:paraId="04034F94"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£110</w:t>
            </w:r>
          </w:p>
        </w:tc>
        <w:tc>
          <w:tcPr>
            <w:tcW w:w="1276" w:type="dxa"/>
            <w:tcBorders>
              <w:top w:val="nil"/>
              <w:left w:val="nil"/>
              <w:bottom w:val="single" w:sz="4" w:space="0" w:color="CCCCCC"/>
              <w:right w:val="single" w:sz="4" w:space="0" w:color="CCCCCC"/>
            </w:tcBorders>
            <w:shd w:val="clear" w:color="000000" w:fill="FFFFFF"/>
            <w:vAlign w:val="center"/>
            <w:hideMark/>
          </w:tcPr>
          <w:p w14:paraId="0E1086FC"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£1,120</w:t>
            </w:r>
          </w:p>
        </w:tc>
        <w:tc>
          <w:tcPr>
            <w:tcW w:w="992" w:type="dxa"/>
            <w:tcBorders>
              <w:top w:val="nil"/>
              <w:left w:val="nil"/>
              <w:bottom w:val="single" w:sz="4" w:space="0" w:color="CCCCCC"/>
              <w:right w:val="single" w:sz="4" w:space="0" w:color="CCCCCC"/>
            </w:tcBorders>
            <w:shd w:val="clear" w:color="000000" w:fill="FFFFFF"/>
            <w:vAlign w:val="center"/>
            <w:hideMark/>
          </w:tcPr>
          <w:p w14:paraId="2B17171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£450</w:t>
            </w:r>
          </w:p>
        </w:tc>
        <w:tc>
          <w:tcPr>
            <w:tcW w:w="992" w:type="dxa"/>
            <w:tcBorders>
              <w:top w:val="nil"/>
              <w:left w:val="nil"/>
              <w:bottom w:val="single" w:sz="4" w:space="0" w:color="CCCCCC"/>
              <w:right w:val="single" w:sz="4" w:space="0" w:color="CCCCCC"/>
            </w:tcBorders>
            <w:shd w:val="clear" w:color="000000" w:fill="FFFFFF"/>
            <w:vAlign w:val="center"/>
            <w:hideMark/>
          </w:tcPr>
          <w:p w14:paraId="2FDD80E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50</w:t>
            </w:r>
          </w:p>
        </w:tc>
        <w:tc>
          <w:tcPr>
            <w:tcW w:w="1134" w:type="dxa"/>
            <w:tcBorders>
              <w:top w:val="nil"/>
              <w:left w:val="nil"/>
              <w:bottom w:val="single" w:sz="4" w:space="0" w:color="CCCCCC"/>
              <w:right w:val="single" w:sz="4" w:space="0" w:color="CCCCCC"/>
            </w:tcBorders>
            <w:shd w:val="clear" w:color="000000" w:fill="FFFFFF"/>
            <w:vAlign w:val="center"/>
            <w:hideMark/>
          </w:tcPr>
          <w:p w14:paraId="5FA71CEB"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£95</w:t>
            </w:r>
          </w:p>
        </w:tc>
        <w:tc>
          <w:tcPr>
            <w:tcW w:w="851" w:type="dxa"/>
            <w:tcBorders>
              <w:top w:val="nil"/>
              <w:left w:val="nil"/>
              <w:bottom w:val="single" w:sz="4" w:space="0" w:color="CCCCCC"/>
              <w:right w:val="single" w:sz="4" w:space="0" w:color="CCCCCC"/>
            </w:tcBorders>
            <w:shd w:val="clear" w:color="000000" w:fill="FFFFFF"/>
            <w:vAlign w:val="center"/>
            <w:hideMark/>
          </w:tcPr>
          <w:p w14:paraId="290D5F0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9.0</w:t>
            </w:r>
          </w:p>
        </w:tc>
        <w:tc>
          <w:tcPr>
            <w:tcW w:w="850" w:type="dxa"/>
            <w:tcBorders>
              <w:top w:val="single" w:sz="4" w:space="0" w:color="CCCCCC"/>
              <w:left w:val="single" w:sz="4" w:space="0" w:color="CCCCCC"/>
              <w:bottom w:val="single" w:sz="4" w:space="0" w:color="CCCCCC"/>
              <w:right w:val="single" w:sz="4" w:space="0" w:color="CCCCCC"/>
            </w:tcBorders>
            <w:shd w:val="clear" w:color="000000" w:fill="FDCE7E"/>
            <w:vAlign w:val="center"/>
            <w:hideMark/>
          </w:tcPr>
          <w:p w14:paraId="010277F8"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74</w:t>
            </w:r>
          </w:p>
        </w:tc>
      </w:tr>
      <w:tr w:rsidR="005D566A" w:rsidRPr="005D566A" w14:paraId="59C9DE30"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E8F0FB"/>
            <w:vAlign w:val="center"/>
            <w:hideMark/>
          </w:tcPr>
          <w:p w14:paraId="4634E91B"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11</w:t>
            </w:r>
          </w:p>
        </w:tc>
        <w:tc>
          <w:tcPr>
            <w:tcW w:w="1135" w:type="dxa"/>
            <w:tcBorders>
              <w:top w:val="nil"/>
              <w:left w:val="nil"/>
              <w:bottom w:val="single" w:sz="4" w:space="0" w:color="CCCCCC"/>
              <w:right w:val="single" w:sz="4" w:space="0" w:color="CCCCCC"/>
            </w:tcBorders>
            <w:shd w:val="clear" w:color="000000" w:fill="E8F0FB"/>
            <w:vAlign w:val="center"/>
            <w:hideMark/>
          </w:tcPr>
          <w:p w14:paraId="76DF78A9"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Dubai (UAE)</w:t>
            </w:r>
          </w:p>
        </w:tc>
        <w:tc>
          <w:tcPr>
            <w:tcW w:w="992" w:type="dxa"/>
            <w:tcBorders>
              <w:top w:val="nil"/>
              <w:left w:val="nil"/>
              <w:bottom w:val="single" w:sz="4" w:space="0" w:color="CCCCCC"/>
              <w:right w:val="single" w:sz="4" w:space="0" w:color="CCCCCC"/>
            </w:tcBorders>
            <w:shd w:val="clear" w:color="000000" w:fill="E8F0FB"/>
            <w:vAlign w:val="center"/>
            <w:hideMark/>
          </w:tcPr>
          <w:p w14:paraId="7624F303"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E8F0FB"/>
            <w:vAlign w:val="center"/>
            <w:hideMark/>
          </w:tcPr>
          <w:p w14:paraId="028BB19B"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£2,615</w:t>
            </w:r>
          </w:p>
        </w:tc>
        <w:tc>
          <w:tcPr>
            <w:tcW w:w="1134" w:type="dxa"/>
            <w:tcBorders>
              <w:top w:val="nil"/>
              <w:left w:val="nil"/>
              <w:bottom w:val="single" w:sz="4" w:space="0" w:color="CCCCCC"/>
              <w:right w:val="single" w:sz="4" w:space="0" w:color="CCCCCC"/>
            </w:tcBorders>
            <w:shd w:val="clear" w:color="000000" w:fill="E8F0FB"/>
            <w:vAlign w:val="center"/>
            <w:hideMark/>
          </w:tcPr>
          <w:p w14:paraId="44292FF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£455</w:t>
            </w:r>
          </w:p>
        </w:tc>
        <w:tc>
          <w:tcPr>
            <w:tcW w:w="1276" w:type="dxa"/>
            <w:tcBorders>
              <w:top w:val="nil"/>
              <w:left w:val="nil"/>
              <w:bottom w:val="single" w:sz="4" w:space="0" w:color="CCCCCC"/>
              <w:right w:val="single" w:sz="4" w:space="0" w:color="CCCCCC"/>
            </w:tcBorders>
            <w:shd w:val="clear" w:color="000000" w:fill="E8F0FB"/>
            <w:vAlign w:val="center"/>
            <w:hideMark/>
          </w:tcPr>
          <w:p w14:paraId="7B231550"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£2,615</w:t>
            </w:r>
          </w:p>
        </w:tc>
        <w:tc>
          <w:tcPr>
            <w:tcW w:w="992" w:type="dxa"/>
            <w:tcBorders>
              <w:top w:val="nil"/>
              <w:left w:val="nil"/>
              <w:bottom w:val="single" w:sz="4" w:space="0" w:color="CCCCCC"/>
              <w:right w:val="single" w:sz="4" w:space="0" w:color="CCCCCC"/>
            </w:tcBorders>
            <w:shd w:val="clear" w:color="000000" w:fill="E8F0FB"/>
            <w:vAlign w:val="center"/>
            <w:hideMark/>
          </w:tcPr>
          <w:p w14:paraId="0BF5A07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£1,345</w:t>
            </w:r>
          </w:p>
        </w:tc>
        <w:tc>
          <w:tcPr>
            <w:tcW w:w="992" w:type="dxa"/>
            <w:tcBorders>
              <w:top w:val="nil"/>
              <w:left w:val="nil"/>
              <w:bottom w:val="single" w:sz="4" w:space="0" w:color="CCCCCC"/>
              <w:right w:val="single" w:sz="4" w:space="0" w:color="CCCCCC"/>
            </w:tcBorders>
            <w:shd w:val="clear" w:color="000000" w:fill="E8F0FB"/>
            <w:vAlign w:val="center"/>
            <w:hideMark/>
          </w:tcPr>
          <w:p w14:paraId="6918C49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250</w:t>
            </w:r>
          </w:p>
        </w:tc>
        <w:tc>
          <w:tcPr>
            <w:tcW w:w="1134" w:type="dxa"/>
            <w:tcBorders>
              <w:top w:val="nil"/>
              <w:left w:val="nil"/>
              <w:bottom w:val="single" w:sz="4" w:space="0" w:color="CCCCCC"/>
              <w:right w:val="single" w:sz="4" w:space="0" w:color="CCCCCC"/>
            </w:tcBorders>
            <w:shd w:val="clear" w:color="000000" w:fill="E8F0FB"/>
            <w:vAlign w:val="center"/>
            <w:hideMark/>
          </w:tcPr>
          <w:p w14:paraId="763C0317"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£185</w:t>
            </w:r>
          </w:p>
        </w:tc>
        <w:tc>
          <w:tcPr>
            <w:tcW w:w="851" w:type="dxa"/>
            <w:tcBorders>
              <w:top w:val="nil"/>
              <w:left w:val="nil"/>
              <w:bottom w:val="single" w:sz="4" w:space="0" w:color="CCCCCC"/>
              <w:right w:val="single" w:sz="4" w:space="0" w:color="CCCCCC"/>
            </w:tcBorders>
            <w:shd w:val="clear" w:color="000000" w:fill="E8F0FB"/>
            <w:vAlign w:val="center"/>
            <w:hideMark/>
          </w:tcPr>
          <w:p w14:paraId="774F88CE"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9.5</w:t>
            </w:r>
          </w:p>
        </w:tc>
        <w:tc>
          <w:tcPr>
            <w:tcW w:w="850" w:type="dxa"/>
            <w:tcBorders>
              <w:top w:val="single" w:sz="4" w:space="0" w:color="CCCCCC"/>
              <w:left w:val="single" w:sz="4" w:space="0" w:color="CCCCCC"/>
              <w:bottom w:val="single" w:sz="4" w:space="0" w:color="CCCCCC"/>
              <w:right w:val="single" w:sz="4" w:space="0" w:color="CCCCCC"/>
            </w:tcBorders>
            <w:shd w:val="clear" w:color="000000" w:fill="FCBF7B"/>
            <w:vAlign w:val="center"/>
            <w:hideMark/>
          </w:tcPr>
          <w:p w14:paraId="414045FD"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73</w:t>
            </w:r>
          </w:p>
        </w:tc>
      </w:tr>
      <w:tr w:rsidR="005D566A" w:rsidRPr="005D566A" w14:paraId="4A12FDF1"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FFFFFF"/>
            <w:vAlign w:val="center"/>
            <w:hideMark/>
          </w:tcPr>
          <w:p w14:paraId="305DCB21"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lastRenderedPageBreak/>
              <w:t>12</w:t>
            </w:r>
          </w:p>
        </w:tc>
        <w:tc>
          <w:tcPr>
            <w:tcW w:w="1135" w:type="dxa"/>
            <w:tcBorders>
              <w:top w:val="nil"/>
              <w:left w:val="nil"/>
              <w:bottom w:val="single" w:sz="4" w:space="0" w:color="CCCCCC"/>
              <w:right w:val="single" w:sz="4" w:space="0" w:color="CCCCCC"/>
            </w:tcBorders>
            <w:shd w:val="clear" w:color="000000" w:fill="FFFFFF"/>
            <w:vAlign w:val="center"/>
            <w:hideMark/>
          </w:tcPr>
          <w:p w14:paraId="194675DA"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Thailand</w:t>
            </w:r>
          </w:p>
        </w:tc>
        <w:tc>
          <w:tcPr>
            <w:tcW w:w="992" w:type="dxa"/>
            <w:tcBorders>
              <w:top w:val="nil"/>
              <w:left w:val="nil"/>
              <w:bottom w:val="single" w:sz="4" w:space="0" w:color="CCCCCC"/>
              <w:right w:val="single" w:sz="4" w:space="0" w:color="CCCCCC"/>
            </w:tcBorders>
            <w:shd w:val="clear" w:color="000000" w:fill="FFFFFF"/>
            <w:vAlign w:val="center"/>
            <w:hideMark/>
          </w:tcPr>
          <w:p w14:paraId="3F23DCE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120</w:t>
            </w:r>
          </w:p>
        </w:tc>
        <w:tc>
          <w:tcPr>
            <w:tcW w:w="1276" w:type="dxa"/>
            <w:tcBorders>
              <w:top w:val="nil"/>
              <w:left w:val="nil"/>
              <w:bottom w:val="single" w:sz="4" w:space="0" w:color="CCCCCC"/>
              <w:right w:val="single" w:sz="4" w:space="0" w:color="CCCCCC"/>
            </w:tcBorders>
            <w:shd w:val="clear" w:color="000000" w:fill="FFFFFF"/>
            <w:vAlign w:val="center"/>
            <w:hideMark/>
          </w:tcPr>
          <w:p w14:paraId="5DDE3FF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£10,755</w:t>
            </w:r>
          </w:p>
        </w:tc>
        <w:tc>
          <w:tcPr>
            <w:tcW w:w="1134" w:type="dxa"/>
            <w:tcBorders>
              <w:top w:val="nil"/>
              <w:left w:val="nil"/>
              <w:bottom w:val="single" w:sz="4" w:space="0" w:color="CCCCCC"/>
              <w:right w:val="single" w:sz="4" w:space="0" w:color="CCCCCC"/>
            </w:tcBorders>
            <w:shd w:val="clear" w:color="000000" w:fill="FFFFFF"/>
            <w:vAlign w:val="center"/>
            <w:hideMark/>
          </w:tcPr>
          <w:p w14:paraId="3247D8F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£0</w:t>
            </w:r>
          </w:p>
        </w:tc>
        <w:tc>
          <w:tcPr>
            <w:tcW w:w="1276" w:type="dxa"/>
            <w:tcBorders>
              <w:top w:val="nil"/>
              <w:left w:val="nil"/>
              <w:bottom w:val="single" w:sz="4" w:space="0" w:color="CCCCCC"/>
              <w:right w:val="single" w:sz="4" w:space="0" w:color="CCCCCC"/>
            </w:tcBorders>
            <w:shd w:val="clear" w:color="000000" w:fill="FFFFFF"/>
            <w:vAlign w:val="center"/>
            <w:hideMark/>
          </w:tcPr>
          <w:p w14:paraId="095B627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£1,195</w:t>
            </w:r>
          </w:p>
        </w:tc>
        <w:tc>
          <w:tcPr>
            <w:tcW w:w="992" w:type="dxa"/>
            <w:tcBorders>
              <w:top w:val="nil"/>
              <w:left w:val="nil"/>
              <w:bottom w:val="single" w:sz="4" w:space="0" w:color="CCCCCC"/>
              <w:right w:val="single" w:sz="4" w:space="0" w:color="CCCCCC"/>
            </w:tcBorders>
            <w:shd w:val="clear" w:color="000000" w:fill="FFFFFF"/>
            <w:vAlign w:val="center"/>
            <w:hideMark/>
          </w:tcPr>
          <w:p w14:paraId="11DCFD7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£450</w:t>
            </w:r>
          </w:p>
        </w:tc>
        <w:tc>
          <w:tcPr>
            <w:tcW w:w="992" w:type="dxa"/>
            <w:tcBorders>
              <w:top w:val="nil"/>
              <w:left w:val="nil"/>
              <w:bottom w:val="single" w:sz="4" w:space="0" w:color="CCCCCC"/>
              <w:right w:val="single" w:sz="4" w:space="0" w:color="CCCCCC"/>
            </w:tcBorders>
            <w:shd w:val="clear" w:color="000000" w:fill="FFFFFF"/>
            <w:vAlign w:val="center"/>
            <w:hideMark/>
          </w:tcPr>
          <w:p w14:paraId="65F4ABB3"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200</w:t>
            </w:r>
          </w:p>
        </w:tc>
        <w:tc>
          <w:tcPr>
            <w:tcW w:w="1134" w:type="dxa"/>
            <w:tcBorders>
              <w:top w:val="nil"/>
              <w:left w:val="nil"/>
              <w:bottom w:val="single" w:sz="4" w:space="0" w:color="CCCCCC"/>
              <w:right w:val="single" w:sz="4" w:space="0" w:color="CCCCCC"/>
            </w:tcBorders>
            <w:shd w:val="clear" w:color="000000" w:fill="FFFFFF"/>
            <w:vAlign w:val="center"/>
            <w:hideMark/>
          </w:tcPr>
          <w:p w14:paraId="766BDA53"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£75</w:t>
            </w:r>
          </w:p>
        </w:tc>
        <w:tc>
          <w:tcPr>
            <w:tcW w:w="851" w:type="dxa"/>
            <w:tcBorders>
              <w:top w:val="nil"/>
              <w:left w:val="nil"/>
              <w:bottom w:val="single" w:sz="4" w:space="0" w:color="CCCCCC"/>
              <w:right w:val="single" w:sz="4" w:space="0" w:color="CCCCCC"/>
            </w:tcBorders>
            <w:shd w:val="clear" w:color="000000" w:fill="FFFFFF"/>
            <w:vAlign w:val="center"/>
            <w:hideMark/>
          </w:tcPr>
          <w:p w14:paraId="22A39C5D"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8.5</w:t>
            </w:r>
          </w:p>
        </w:tc>
        <w:tc>
          <w:tcPr>
            <w:tcW w:w="850" w:type="dxa"/>
            <w:tcBorders>
              <w:top w:val="single" w:sz="4" w:space="0" w:color="CCCCCC"/>
              <w:left w:val="single" w:sz="4" w:space="0" w:color="CCCCCC"/>
              <w:bottom w:val="single" w:sz="4" w:space="0" w:color="CCCCCC"/>
              <w:right w:val="single" w:sz="4" w:space="0" w:color="CCCCCC"/>
            </w:tcBorders>
            <w:shd w:val="clear" w:color="000000" w:fill="FBB178"/>
            <w:vAlign w:val="center"/>
            <w:hideMark/>
          </w:tcPr>
          <w:p w14:paraId="79B25926"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72</w:t>
            </w:r>
          </w:p>
        </w:tc>
      </w:tr>
      <w:tr w:rsidR="005D566A" w:rsidRPr="005D566A" w14:paraId="6002C6B7"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E8F0FB"/>
            <w:vAlign w:val="center"/>
            <w:hideMark/>
          </w:tcPr>
          <w:p w14:paraId="55A4D932"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13</w:t>
            </w:r>
          </w:p>
        </w:tc>
        <w:tc>
          <w:tcPr>
            <w:tcW w:w="1135" w:type="dxa"/>
            <w:tcBorders>
              <w:top w:val="nil"/>
              <w:left w:val="nil"/>
              <w:bottom w:val="single" w:sz="4" w:space="0" w:color="CCCCCC"/>
              <w:right w:val="single" w:sz="4" w:space="0" w:color="CCCCCC"/>
            </w:tcBorders>
            <w:shd w:val="clear" w:color="000000" w:fill="E8F0FB"/>
            <w:vAlign w:val="center"/>
            <w:hideMark/>
          </w:tcPr>
          <w:p w14:paraId="302D3A6B"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Malta</w:t>
            </w:r>
          </w:p>
        </w:tc>
        <w:tc>
          <w:tcPr>
            <w:tcW w:w="992" w:type="dxa"/>
            <w:tcBorders>
              <w:top w:val="nil"/>
              <w:left w:val="nil"/>
              <w:bottom w:val="single" w:sz="4" w:space="0" w:color="CCCCCC"/>
              <w:right w:val="single" w:sz="4" w:space="0" w:color="CCCCCC"/>
            </w:tcBorders>
            <w:shd w:val="clear" w:color="000000" w:fill="E8F0FB"/>
            <w:vAlign w:val="center"/>
            <w:hideMark/>
          </w:tcPr>
          <w:p w14:paraId="5226D9E3"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E8F0FB"/>
            <w:vAlign w:val="center"/>
            <w:hideMark/>
          </w:tcPr>
          <w:p w14:paraId="3781AA17"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£2,615</w:t>
            </w:r>
          </w:p>
        </w:tc>
        <w:tc>
          <w:tcPr>
            <w:tcW w:w="1134" w:type="dxa"/>
            <w:tcBorders>
              <w:top w:val="nil"/>
              <w:left w:val="nil"/>
              <w:bottom w:val="single" w:sz="4" w:space="0" w:color="CCCCCC"/>
              <w:right w:val="single" w:sz="4" w:space="0" w:color="CCCCCC"/>
            </w:tcBorders>
            <w:shd w:val="clear" w:color="000000" w:fill="E8F0FB"/>
            <w:vAlign w:val="center"/>
            <w:hideMark/>
          </w:tcPr>
          <w:p w14:paraId="0466F8EB"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£225</w:t>
            </w:r>
          </w:p>
        </w:tc>
        <w:tc>
          <w:tcPr>
            <w:tcW w:w="1276" w:type="dxa"/>
            <w:tcBorders>
              <w:top w:val="nil"/>
              <w:left w:val="nil"/>
              <w:bottom w:val="single" w:sz="4" w:space="0" w:color="CCCCCC"/>
              <w:right w:val="single" w:sz="4" w:space="0" w:color="CCCCCC"/>
            </w:tcBorders>
            <w:shd w:val="clear" w:color="000000" w:fill="E8F0FB"/>
            <w:vAlign w:val="center"/>
            <w:hideMark/>
          </w:tcPr>
          <w:p w14:paraId="7D680A90"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£1,870</w:t>
            </w:r>
          </w:p>
        </w:tc>
        <w:tc>
          <w:tcPr>
            <w:tcW w:w="992" w:type="dxa"/>
            <w:tcBorders>
              <w:top w:val="nil"/>
              <w:left w:val="nil"/>
              <w:bottom w:val="single" w:sz="4" w:space="0" w:color="CCCCCC"/>
              <w:right w:val="single" w:sz="4" w:space="0" w:color="CCCCCC"/>
            </w:tcBorders>
            <w:shd w:val="clear" w:color="000000" w:fill="E8F0FB"/>
            <w:vAlign w:val="center"/>
            <w:hideMark/>
          </w:tcPr>
          <w:p w14:paraId="1B6A2330"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£820</w:t>
            </w:r>
          </w:p>
        </w:tc>
        <w:tc>
          <w:tcPr>
            <w:tcW w:w="992" w:type="dxa"/>
            <w:tcBorders>
              <w:top w:val="nil"/>
              <w:left w:val="nil"/>
              <w:bottom w:val="single" w:sz="4" w:space="0" w:color="CCCCCC"/>
              <w:right w:val="single" w:sz="4" w:space="0" w:color="CCCCCC"/>
            </w:tcBorders>
            <w:shd w:val="clear" w:color="000000" w:fill="E8F0FB"/>
            <w:vAlign w:val="center"/>
            <w:hideMark/>
          </w:tcPr>
          <w:p w14:paraId="51D4991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150</w:t>
            </w:r>
          </w:p>
        </w:tc>
        <w:tc>
          <w:tcPr>
            <w:tcW w:w="1134" w:type="dxa"/>
            <w:tcBorders>
              <w:top w:val="nil"/>
              <w:left w:val="nil"/>
              <w:bottom w:val="single" w:sz="4" w:space="0" w:color="CCCCCC"/>
              <w:right w:val="single" w:sz="4" w:space="0" w:color="CCCCCC"/>
            </w:tcBorders>
            <w:shd w:val="clear" w:color="000000" w:fill="E8F0FB"/>
            <w:vAlign w:val="center"/>
            <w:hideMark/>
          </w:tcPr>
          <w:p w14:paraId="6400F698"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£135</w:t>
            </w:r>
          </w:p>
        </w:tc>
        <w:tc>
          <w:tcPr>
            <w:tcW w:w="851" w:type="dxa"/>
            <w:tcBorders>
              <w:top w:val="nil"/>
              <w:left w:val="nil"/>
              <w:bottom w:val="single" w:sz="4" w:space="0" w:color="CCCCCC"/>
              <w:right w:val="single" w:sz="4" w:space="0" w:color="CCCCCC"/>
            </w:tcBorders>
            <w:shd w:val="clear" w:color="000000" w:fill="E8F0FB"/>
            <w:vAlign w:val="center"/>
            <w:hideMark/>
          </w:tcPr>
          <w:p w14:paraId="140101C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8.5</w:t>
            </w:r>
          </w:p>
        </w:tc>
        <w:tc>
          <w:tcPr>
            <w:tcW w:w="850" w:type="dxa"/>
            <w:tcBorders>
              <w:top w:val="single" w:sz="4" w:space="0" w:color="CCCCCC"/>
              <w:left w:val="single" w:sz="4" w:space="0" w:color="CCCCCC"/>
              <w:bottom w:val="single" w:sz="4" w:space="0" w:color="CCCCCC"/>
              <w:right w:val="single" w:sz="4" w:space="0" w:color="CCCCCC"/>
            </w:tcBorders>
            <w:shd w:val="clear" w:color="000000" w:fill="FA9473"/>
            <w:vAlign w:val="center"/>
            <w:hideMark/>
          </w:tcPr>
          <w:p w14:paraId="05AD2F78"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70</w:t>
            </w:r>
          </w:p>
        </w:tc>
      </w:tr>
      <w:tr w:rsidR="005D566A" w:rsidRPr="005D566A" w14:paraId="415C370F"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FFFFFF"/>
            <w:vAlign w:val="center"/>
            <w:hideMark/>
          </w:tcPr>
          <w:p w14:paraId="658E3631"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14</w:t>
            </w:r>
          </w:p>
        </w:tc>
        <w:tc>
          <w:tcPr>
            <w:tcW w:w="1135" w:type="dxa"/>
            <w:tcBorders>
              <w:top w:val="nil"/>
              <w:left w:val="nil"/>
              <w:bottom w:val="single" w:sz="4" w:space="0" w:color="CCCCCC"/>
              <w:right w:val="single" w:sz="4" w:space="0" w:color="CCCCCC"/>
            </w:tcBorders>
            <w:shd w:val="clear" w:color="000000" w:fill="FFFFFF"/>
            <w:vAlign w:val="center"/>
            <w:hideMark/>
          </w:tcPr>
          <w:p w14:paraId="1BC1DC3B"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Italy</w:t>
            </w:r>
          </w:p>
        </w:tc>
        <w:tc>
          <w:tcPr>
            <w:tcW w:w="992" w:type="dxa"/>
            <w:tcBorders>
              <w:top w:val="nil"/>
              <w:left w:val="nil"/>
              <w:bottom w:val="single" w:sz="4" w:space="0" w:color="CCCCCC"/>
              <w:right w:val="single" w:sz="4" w:space="0" w:color="CCCCCC"/>
            </w:tcBorders>
            <w:shd w:val="clear" w:color="000000" w:fill="FFFFFF"/>
            <w:vAlign w:val="center"/>
            <w:hideMark/>
          </w:tcPr>
          <w:p w14:paraId="772A8285"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w:t>
            </w:r>
          </w:p>
        </w:tc>
        <w:tc>
          <w:tcPr>
            <w:tcW w:w="1276" w:type="dxa"/>
            <w:tcBorders>
              <w:top w:val="nil"/>
              <w:left w:val="nil"/>
              <w:bottom w:val="single" w:sz="4" w:space="0" w:color="CCCCCC"/>
              <w:right w:val="single" w:sz="4" w:space="0" w:color="CCCCCC"/>
            </w:tcBorders>
            <w:shd w:val="clear" w:color="000000" w:fill="FFFFFF"/>
            <w:vAlign w:val="center"/>
            <w:hideMark/>
          </w:tcPr>
          <w:p w14:paraId="34DE2646"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£1,545</w:t>
            </w:r>
          </w:p>
        </w:tc>
        <w:tc>
          <w:tcPr>
            <w:tcW w:w="1134" w:type="dxa"/>
            <w:tcBorders>
              <w:top w:val="nil"/>
              <w:left w:val="nil"/>
              <w:bottom w:val="single" w:sz="4" w:space="0" w:color="CCCCCC"/>
              <w:right w:val="single" w:sz="4" w:space="0" w:color="CCCCCC"/>
            </w:tcBorders>
            <w:shd w:val="clear" w:color="000000" w:fill="FFFFFF"/>
            <w:vAlign w:val="center"/>
            <w:hideMark/>
          </w:tcPr>
          <w:p w14:paraId="496F0BF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£90</w:t>
            </w:r>
          </w:p>
        </w:tc>
        <w:tc>
          <w:tcPr>
            <w:tcW w:w="1276" w:type="dxa"/>
            <w:tcBorders>
              <w:top w:val="nil"/>
              <w:left w:val="nil"/>
              <w:bottom w:val="single" w:sz="4" w:space="0" w:color="CCCCCC"/>
              <w:right w:val="single" w:sz="4" w:space="0" w:color="CCCCCC"/>
            </w:tcBorders>
            <w:shd w:val="clear" w:color="000000" w:fill="FFFFFF"/>
            <w:vAlign w:val="center"/>
            <w:hideMark/>
          </w:tcPr>
          <w:p w14:paraId="442A0573"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£1,870</w:t>
            </w:r>
          </w:p>
        </w:tc>
        <w:tc>
          <w:tcPr>
            <w:tcW w:w="992" w:type="dxa"/>
            <w:tcBorders>
              <w:top w:val="nil"/>
              <w:left w:val="nil"/>
              <w:bottom w:val="single" w:sz="4" w:space="0" w:color="CCCCCC"/>
              <w:right w:val="single" w:sz="4" w:space="0" w:color="CCCCCC"/>
            </w:tcBorders>
            <w:shd w:val="clear" w:color="000000" w:fill="FFFFFF"/>
            <w:vAlign w:val="center"/>
            <w:hideMark/>
          </w:tcPr>
          <w:p w14:paraId="1B1FF20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£710</w:t>
            </w:r>
          </w:p>
        </w:tc>
        <w:tc>
          <w:tcPr>
            <w:tcW w:w="992" w:type="dxa"/>
            <w:tcBorders>
              <w:top w:val="nil"/>
              <w:left w:val="nil"/>
              <w:bottom w:val="single" w:sz="4" w:space="0" w:color="CCCCCC"/>
              <w:right w:val="single" w:sz="4" w:space="0" w:color="CCCCCC"/>
            </w:tcBorders>
            <w:shd w:val="clear" w:color="000000" w:fill="FFFFFF"/>
            <w:vAlign w:val="center"/>
            <w:hideMark/>
          </w:tcPr>
          <w:p w14:paraId="3393F96A"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150</w:t>
            </w:r>
          </w:p>
        </w:tc>
        <w:tc>
          <w:tcPr>
            <w:tcW w:w="1134" w:type="dxa"/>
            <w:tcBorders>
              <w:top w:val="nil"/>
              <w:left w:val="nil"/>
              <w:bottom w:val="single" w:sz="4" w:space="0" w:color="CCCCCC"/>
              <w:right w:val="single" w:sz="4" w:space="0" w:color="CCCCCC"/>
            </w:tcBorders>
            <w:shd w:val="clear" w:color="000000" w:fill="FFFFFF"/>
            <w:vAlign w:val="center"/>
            <w:hideMark/>
          </w:tcPr>
          <w:p w14:paraId="4ED4244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£135</w:t>
            </w:r>
          </w:p>
        </w:tc>
        <w:tc>
          <w:tcPr>
            <w:tcW w:w="851" w:type="dxa"/>
            <w:tcBorders>
              <w:top w:val="nil"/>
              <w:left w:val="nil"/>
              <w:bottom w:val="single" w:sz="4" w:space="0" w:color="CCCCCC"/>
              <w:right w:val="single" w:sz="4" w:space="0" w:color="CCCCCC"/>
            </w:tcBorders>
            <w:shd w:val="clear" w:color="000000" w:fill="FFFFFF"/>
            <w:vAlign w:val="center"/>
            <w:hideMark/>
          </w:tcPr>
          <w:p w14:paraId="3B81CB82"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9.0</w:t>
            </w:r>
          </w:p>
        </w:tc>
        <w:tc>
          <w:tcPr>
            <w:tcW w:w="850" w:type="dxa"/>
            <w:tcBorders>
              <w:top w:val="single" w:sz="4" w:space="0" w:color="CCCCCC"/>
              <w:left w:val="single" w:sz="4" w:space="0" w:color="CCCCCC"/>
              <w:bottom w:val="single" w:sz="4" w:space="0" w:color="CCCCCC"/>
              <w:right w:val="single" w:sz="4" w:space="0" w:color="CCCCCC"/>
            </w:tcBorders>
            <w:shd w:val="clear" w:color="000000" w:fill="F8776D"/>
            <w:vAlign w:val="center"/>
            <w:hideMark/>
          </w:tcPr>
          <w:p w14:paraId="7D6907C6"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68</w:t>
            </w:r>
          </w:p>
        </w:tc>
      </w:tr>
      <w:tr w:rsidR="005D566A" w:rsidRPr="005D566A" w14:paraId="2D9E9E68" w14:textId="77777777" w:rsidTr="006A0DD9">
        <w:trPr>
          <w:trHeight w:val="77"/>
        </w:trPr>
        <w:tc>
          <w:tcPr>
            <w:tcW w:w="709" w:type="dxa"/>
            <w:tcBorders>
              <w:top w:val="nil"/>
              <w:left w:val="single" w:sz="4" w:space="0" w:color="CCCCCC"/>
              <w:bottom w:val="single" w:sz="4" w:space="0" w:color="CCCCCC"/>
              <w:right w:val="single" w:sz="4" w:space="0" w:color="CCCCCC"/>
            </w:tcBorders>
            <w:shd w:val="clear" w:color="000000" w:fill="E8F0FB"/>
            <w:vAlign w:val="center"/>
            <w:hideMark/>
          </w:tcPr>
          <w:p w14:paraId="09B9054E" w14:textId="77777777" w:rsidR="005D566A" w:rsidRPr="00AB6E16" w:rsidRDefault="005D566A" w:rsidP="005D566A">
            <w:pPr>
              <w:spacing w:after="0" w:line="240" w:lineRule="auto"/>
              <w:jc w:val="center"/>
              <w:rPr>
                <w:rFonts w:ascii="Calibri" w:eastAsia="Times New Roman" w:hAnsi="Calibri" w:cs="Calibri"/>
                <w:kern w:val="0"/>
                <w:sz w:val="18"/>
                <w:szCs w:val="18"/>
                <w:lang w:eastAsia="en-GB"/>
                <w14:ligatures w14:val="none"/>
              </w:rPr>
            </w:pPr>
            <w:r w:rsidRPr="00AB6E16">
              <w:rPr>
                <w:rFonts w:ascii="Calibri" w:eastAsia="Times New Roman" w:hAnsi="Calibri" w:cs="Calibri"/>
                <w:kern w:val="0"/>
                <w:sz w:val="18"/>
                <w:szCs w:val="18"/>
                <w:lang w:eastAsia="en-GB"/>
                <w14:ligatures w14:val="none"/>
              </w:rPr>
              <w:t>15</w:t>
            </w:r>
          </w:p>
        </w:tc>
        <w:tc>
          <w:tcPr>
            <w:tcW w:w="1135" w:type="dxa"/>
            <w:tcBorders>
              <w:top w:val="nil"/>
              <w:left w:val="nil"/>
              <w:bottom w:val="single" w:sz="4" w:space="0" w:color="CCCCCC"/>
              <w:right w:val="single" w:sz="4" w:space="0" w:color="CCCCCC"/>
            </w:tcBorders>
            <w:shd w:val="clear" w:color="000000" w:fill="E8F0FB"/>
            <w:vAlign w:val="center"/>
            <w:hideMark/>
          </w:tcPr>
          <w:p w14:paraId="1A0D466C" w14:textId="77777777" w:rsidR="005D566A" w:rsidRPr="00AB6E16" w:rsidRDefault="005D566A" w:rsidP="006A0DD9">
            <w:pPr>
              <w:spacing w:after="0" w:line="240" w:lineRule="auto"/>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Mexico</w:t>
            </w:r>
          </w:p>
        </w:tc>
        <w:tc>
          <w:tcPr>
            <w:tcW w:w="992" w:type="dxa"/>
            <w:tcBorders>
              <w:top w:val="nil"/>
              <w:left w:val="nil"/>
              <w:bottom w:val="single" w:sz="4" w:space="0" w:color="CCCCCC"/>
              <w:right w:val="single" w:sz="4" w:space="0" w:color="CCCCCC"/>
            </w:tcBorders>
            <w:shd w:val="clear" w:color="000000" w:fill="E8F0FB"/>
            <w:vAlign w:val="center"/>
            <w:hideMark/>
          </w:tcPr>
          <w:p w14:paraId="0A5362D9"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48</w:t>
            </w:r>
          </w:p>
        </w:tc>
        <w:tc>
          <w:tcPr>
            <w:tcW w:w="1276" w:type="dxa"/>
            <w:tcBorders>
              <w:top w:val="nil"/>
              <w:left w:val="nil"/>
              <w:bottom w:val="single" w:sz="4" w:space="0" w:color="CCCCCC"/>
              <w:right w:val="single" w:sz="4" w:space="0" w:color="CCCCCC"/>
            </w:tcBorders>
            <w:shd w:val="clear" w:color="000000" w:fill="E8F0FB"/>
            <w:vAlign w:val="center"/>
            <w:hideMark/>
          </w:tcPr>
          <w:p w14:paraId="3C03C87E"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£2,015</w:t>
            </w:r>
          </w:p>
        </w:tc>
        <w:tc>
          <w:tcPr>
            <w:tcW w:w="1134" w:type="dxa"/>
            <w:tcBorders>
              <w:top w:val="nil"/>
              <w:left w:val="nil"/>
              <w:bottom w:val="single" w:sz="4" w:space="0" w:color="CCCCCC"/>
              <w:right w:val="single" w:sz="4" w:space="0" w:color="CCCCCC"/>
            </w:tcBorders>
            <w:shd w:val="clear" w:color="000000" w:fill="E8F0FB"/>
            <w:vAlign w:val="center"/>
            <w:hideMark/>
          </w:tcPr>
          <w:p w14:paraId="782F634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£35</w:t>
            </w:r>
          </w:p>
        </w:tc>
        <w:tc>
          <w:tcPr>
            <w:tcW w:w="1276" w:type="dxa"/>
            <w:tcBorders>
              <w:top w:val="nil"/>
              <w:left w:val="nil"/>
              <w:bottom w:val="single" w:sz="4" w:space="0" w:color="CCCCCC"/>
              <w:right w:val="single" w:sz="4" w:space="0" w:color="CCCCCC"/>
            </w:tcBorders>
            <w:shd w:val="clear" w:color="000000" w:fill="E8F0FB"/>
            <w:vAlign w:val="center"/>
            <w:hideMark/>
          </w:tcPr>
          <w:p w14:paraId="4D01D039"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£1,270</w:t>
            </w:r>
          </w:p>
        </w:tc>
        <w:tc>
          <w:tcPr>
            <w:tcW w:w="992" w:type="dxa"/>
            <w:tcBorders>
              <w:top w:val="nil"/>
              <w:left w:val="nil"/>
              <w:bottom w:val="single" w:sz="4" w:space="0" w:color="CCCCCC"/>
              <w:right w:val="single" w:sz="4" w:space="0" w:color="CCCCCC"/>
            </w:tcBorders>
            <w:shd w:val="clear" w:color="000000" w:fill="E8F0FB"/>
            <w:vAlign w:val="center"/>
            <w:hideMark/>
          </w:tcPr>
          <w:p w14:paraId="599E04BB"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£450</w:t>
            </w:r>
          </w:p>
        </w:tc>
        <w:tc>
          <w:tcPr>
            <w:tcW w:w="992" w:type="dxa"/>
            <w:tcBorders>
              <w:top w:val="nil"/>
              <w:left w:val="nil"/>
              <w:bottom w:val="single" w:sz="4" w:space="0" w:color="CCCCCC"/>
              <w:right w:val="single" w:sz="4" w:space="0" w:color="CCCCCC"/>
            </w:tcBorders>
            <w:shd w:val="clear" w:color="000000" w:fill="E8F0FB"/>
            <w:vAlign w:val="center"/>
            <w:hideMark/>
          </w:tcPr>
          <w:p w14:paraId="1E285499"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80</w:t>
            </w:r>
          </w:p>
        </w:tc>
        <w:tc>
          <w:tcPr>
            <w:tcW w:w="1134" w:type="dxa"/>
            <w:tcBorders>
              <w:top w:val="nil"/>
              <w:left w:val="nil"/>
              <w:bottom w:val="single" w:sz="4" w:space="0" w:color="CCCCCC"/>
              <w:right w:val="single" w:sz="4" w:space="0" w:color="CCCCCC"/>
            </w:tcBorders>
            <w:shd w:val="clear" w:color="000000" w:fill="E8F0FB"/>
            <w:vAlign w:val="center"/>
            <w:hideMark/>
          </w:tcPr>
          <w:p w14:paraId="0C42432F"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£75</w:t>
            </w:r>
          </w:p>
        </w:tc>
        <w:tc>
          <w:tcPr>
            <w:tcW w:w="851" w:type="dxa"/>
            <w:tcBorders>
              <w:top w:val="nil"/>
              <w:left w:val="nil"/>
              <w:bottom w:val="single" w:sz="4" w:space="0" w:color="CCCCCC"/>
              <w:right w:val="single" w:sz="4" w:space="0" w:color="CCCCCC"/>
            </w:tcBorders>
            <w:shd w:val="clear" w:color="000000" w:fill="E8F0FB"/>
            <w:vAlign w:val="center"/>
            <w:hideMark/>
          </w:tcPr>
          <w:p w14:paraId="65180E21" w14:textId="77777777" w:rsidR="005D566A" w:rsidRPr="005D566A" w:rsidRDefault="005D566A" w:rsidP="005D566A">
            <w:pPr>
              <w:spacing w:after="0" w:line="240" w:lineRule="auto"/>
              <w:jc w:val="center"/>
              <w:rPr>
                <w:rFonts w:ascii="Calibri" w:eastAsia="Times New Roman" w:hAnsi="Calibri" w:cs="Calibri"/>
                <w:kern w:val="0"/>
                <w:sz w:val="18"/>
                <w:szCs w:val="18"/>
                <w:lang w:eastAsia="en-GB"/>
                <w14:ligatures w14:val="none"/>
              </w:rPr>
            </w:pPr>
            <w:r w:rsidRPr="005D566A">
              <w:rPr>
                <w:rFonts w:ascii="Calibri" w:eastAsia="Times New Roman" w:hAnsi="Calibri" w:cs="Calibri"/>
                <w:kern w:val="0"/>
                <w:sz w:val="18"/>
                <w:szCs w:val="18"/>
                <w:lang w:eastAsia="en-GB"/>
                <w14:ligatures w14:val="none"/>
              </w:rPr>
              <w:t>8.5</w:t>
            </w:r>
          </w:p>
        </w:tc>
        <w:tc>
          <w:tcPr>
            <w:tcW w:w="850" w:type="dxa"/>
            <w:tcBorders>
              <w:top w:val="single" w:sz="4" w:space="0" w:color="CCCCCC"/>
              <w:left w:val="single" w:sz="4" w:space="0" w:color="CCCCCC"/>
              <w:bottom w:val="single" w:sz="4" w:space="0" w:color="CCCCCC"/>
              <w:right w:val="single" w:sz="4" w:space="0" w:color="CCCCCC"/>
            </w:tcBorders>
            <w:shd w:val="clear" w:color="000000" w:fill="F8696B"/>
            <w:vAlign w:val="center"/>
            <w:hideMark/>
          </w:tcPr>
          <w:p w14:paraId="66E300B2" w14:textId="77777777" w:rsidR="005D566A" w:rsidRPr="00AB6E16" w:rsidRDefault="005D566A" w:rsidP="005D566A">
            <w:pPr>
              <w:spacing w:after="0" w:line="240" w:lineRule="auto"/>
              <w:jc w:val="center"/>
              <w:rPr>
                <w:rFonts w:ascii="Calibri" w:eastAsia="Times New Roman" w:hAnsi="Calibri" w:cs="Calibri"/>
                <w:b/>
                <w:bCs/>
                <w:kern w:val="0"/>
                <w:sz w:val="18"/>
                <w:szCs w:val="18"/>
                <w:lang w:eastAsia="en-GB"/>
                <w14:ligatures w14:val="none"/>
              </w:rPr>
            </w:pPr>
            <w:r w:rsidRPr="00AB6E16">
              <w:rPr>
                <w:rFonts w:ascii="Calibri" w:eastAsia="Times New Roman" w:hAnsi="Calibri" w:cs="Calibri"/>
                <w:b/>
                <w:bCs/>
                <w:kern w:val="0"/>
                <w:sz w:val="18"/>
                <w:szCs w:val="18"/>
                <w:lang w:eastAsia="en-GB"/>
                <w14:ligatures w14:val="none"/>
              </w:rPr>
              <w:t>67</w:t>
            </w:r>
          </w:p>
        </w:tc>
      </w:tr>
    </w:tbl>
    <w:p w14:paraId="5E85B7F3" w14:textId="559166F0" w:rsidR="000D53A7" w:rsidRPr="004903EA" w:rsidRDefault="004903EA" w:rsidP="00F57570">
      <w:pPr>
        <w:rPr>
          <w:rFonts w:ascii="Calibri" w:hAnsi="Calibri" w:cs="Calibri"/>
          <w:i/>
          <w:iCs/>
          <w:sz w:val="20"/>
          <w:szCs w:val="20"/>
        </w:rPr>
      </w:pPr>
      <w:r w:rsidRPr="004903EA">
        <w:rPr>
          <w:rFonts w:ascii="Calibri" w:hAnsi="Calibri" w:cs="Calibri"/>
          <w:i/>
          <w:iCs/>
          <w:sz w:val="20"/>
          <w:szCs w:val="20"/>
        </w:rPr>
        <w:t xml:space="preserve">To view the full dataset and methodology, </w:t>
      </w:r>
      <w:hyperlink r:id="rId7" w:history="1">
        <w:r w:rsidRPr="004903EA">
          <w:rPr>
            <w:rStyle w:val="Hyperlink"/>
            <w:rFonts w:ascii="Calibri" w:hAnsi="Calibri" w:cs="Calibri"/>
            <w:b/>
            <w:bCs/>
            <w:i/>
            <w:iCs/>
            <w:sz w:val="20"/>
            <w:szCs w:val="20"/>
          </w:rPr>
          <w:t>view here</w:t>
        </w:r>
      </w:hyperlink>
      <w:r w:rsidRPr="004903EA">
        <w:rPr>
          <w:rFonts w:ascii="Calibri" w:hAnsi="Calibri" w:cs="Calibri"/>
          <w:i/>
          <w:iCs/>
          <w:sz w:val="20"/>
          <w:szCs w:val="20"/>
        </w:rPr>
        <w:t>.</w:t>
      </w:r>
    </w:p>
    <w:p w14:paraId="5BEE2980" w14:textId="6030DEB2" w:rsidR="00DA2B4B" w:rsidRDefault="00DA2B4B" w:rsidP="00DA2B4B">
      <w:pPr>
        <w:rPr>
          <w:rFonts w:ascii="Calibri" w:hAnsi="Calibri" w:cs="Calibri"/>
          <w:sz w:val="22"/>
          <w:szCs w:val="22"/>
        </w:rPr>
      </w:pPr>
      <w:r w:rsidRPr="00DA2B4B">
        <w:rPr>
          <w:rFonts w:ascii="Calibri" w:hAnsi="Calibri" w:cs="Calibri"/>
          <w:sz w:val="22"/>
          <w:szCs w:val="22"/>
        </w:rPr>
        <w:t xml:space="preserve">According to the analysis, </w:t>
      </w:r>
      <w:r w:rsidRPr="003A7041">
        <w:rPr>
          <w:rFonts w:ascii="Calibri" w:hAnsi="Calibri" w:cs="Calibri"/>
          <w:b/>
          <w:bCs/>
          <w:sz w:val="22"/>
          <w:szCs w:val="22"/>
        </w:rPr>
        <w:t>Spain</w:t>
      </w:r>
      <w:r w:rsidRPr="00DA2B4B">
        <w:rPr>
          <w:rFonts w:ascii="Calibri" w:hAnsi="Calibri" w:cs="Calibri"/>
          <w:sz w:val="22"/>
          <w:szCs w:val="22"/>
        </w:rPr>
        <w:t xml:space="preserve"> claimed the top spot as the best destination for digital nomads, achieving an </w:t>
      </w:r>
      <w:r w:rsidRPr="003A7041">
        <w:rPr>
          <w:rFonts w:ascii="Calibri" w:hAnsi="Calibri" w:cs="Calibri"/>
          <w:b/>
          <w:bCs/>
          <w:sz w:val="22"/>
          <w:szCs w:val="22"/>
        </w:rPr>
        <w:t>overall score of 88 out of 100</w:t>
      </w:r>
      <w:r w:rsidRPr="00DA2B4B">
        <w:rPr>
          <w:rFonts w:ascii="Calibri" w:hAnsi="Calibri" w:cs="Calibri"/>
          <w:sz w:val="22"/>
          <w:szCs w:val="22"/>
        </w:rPr>
        <w:t>. Alongside offering visas of up to 60 months, the country boasts average internet speeds of 200 Mbps and a lifestyle score of 9.5 out of 10. From Michelin-starred dining and vibrant cultural scenes to Mediterranean coastlines and year-round sunshine, Spain offers remote professionals an enviable blend of productivity and quality of life.</w:t>
      </w:r>
    </w:p>
    <w:p w14:paraId="3F550FEB" w14:textId="77777777" w:rsidR="00DA2B4B" w:rsidRPr="00DA2B4B" w:rsidRDefault="00DA2B4B" w:rsidP="00DA2B4B">
      <w:pPr>
        <w:rPr>
          <w:rFonts w:ascii="Calibri" w:hAnsi="Calibri" w:cs="Calibri"/>
          <w:sz w:val="22"/>
          <w:szCs w:val="22"/>
        </w:rPr>
      </w:pPr>
    </w:p>
    <w:p w14:paraId="5ABAF1D5" w14:textId="55CF052D" w:rsidR="00DA2B4B" w:rsidRDefault="00DA2B4B" w:rsidP="00DA2B4B">
      <w:pPr>
        <w:rPr>
          <w:rFonts w:ascii="Calibri" w:hAnsi="Calibri" w:cs="Calibri"/>
          <w:sz w:val="22"/>
          <w:szCs w:val="22"/>
        </w:rPr>
      </w:pPr>
      <w:r w:rsidRPr="003A7041">
        <w:rPr>
          <w:rFonts w:ascii="Calibri" w:hAnsi="Calibri" w:cs="Calibri"/>
          <w:b/>
          <w:bCs/>
          <w:sz w:val="22"/>
          <w:szCs w:val="22"/>
        </w:rPr>
        <w:t xml:space="preserve">Portugal </w:t>
      </w:r>
      <w:r w:rsidRPr="00DA2B4B">
        <w:rPr>
          <w:rFonts w:ascii="Calibri" w:hAnsi="Calibri" w:cs="Calibri"/>
          <w:sz w:val="22"/>
          <w:szCs w:val="22"/>
        </w:rPr>
        <w:t xml:space="preserve">followed closely behind with </w:t>
      </w:r>
      <w:r w:rsidRPr="003A7041">
        <w:rPr>
          <w:rFonts w:ascii="Calibri" w:hAnsi="Calibri" w:cs="Calibri"/>
          <w:b/>
          <w:bCs/>
          <w:sz w:val="22"/>
          <w:szCs w:val="22"/>
        </w:rPr>
        <w:t>a score of 85</w:t>
      </w:r>
      <w:r w:rsidRPr="00DA2B4B">
        <w:rPr>
          <w:rFonts w:ascii="Calibri" w:hAnsi="Calibri" w:cs="Calibri"/>
          <w:sz w:val="22"/>
          <w:szCs w:val="22"/>
        </w:rPr>
        <w:t>. Known for its picturesque coastline, sophisticated cities and relaxed way of life, the country has become one of Europe's most sought-after destinations for remote workers.</w:t>
      </w:r>
    </w:p>
    <w:p w14:paraId="1053E872" w14:textId="77777777" w:rsidR="00DA2B4B" w:rsidRPr="00DA2B4B" w:rsidRDefault="00DA2B4B" w:rsidP="00DA2B4B">
      <w:pPr>
        <w:rPr>
          <w:rFonts w:ascii="Calibri" w:hAnsi="Calibri" w:cs="Calibri"/>
          <w:sz w:val="22"/>
          <w:szCs w:val="22"/>
        </w:rPr>
      </w:pPr>
    </w:p>
    <w:p w14:paraId="50DC6C84" w14:textId="10857473" w:rsidR="00DA2B4B" w:rsidRDefault="00DA2B4B" w:rsidP="00DA2B4B">
      <w:pPr>
        <w:rPr>
          <w:rFonts w:ascii="Calibri" w:hAnsi="Calibri" w:cs="Calibri"/>
          <w:sz w:val="22"/>
          <w:szCs w:val="22"/>
        </w:rPr>
      </w:pPr>
      <w:r w:rsidRPr="003A7041">
        <w:rPr>
          <w:rFonts w:ascii="Calibri" w:hAnsi="Calibri" w:cs="Calibri"/>
          <w:b/>
          <w:bCs/>
          <w:sz w:val="22"/>
          <w:szCs w:val="22"/>
        </w:rPr>
        <w:t>Croatia</w:t>
      </w:r>
      <w:r w:rsidRPr="00DA2B4B">
        <w:rPr>
          <w:rFonts w:ascii="Calibri" w:hAnsi="Calibri" w:cs="Calibri"/>
          <w:sz w:val="22"/>
          <w:szCs w:val="22"/>
        </w:rPr>
        <w:t xml:space="preserve"> ranked third overall with </w:t>
      </w:r>
      <w:r w:rsidRPr="003A7041">
        <w:rPr>
          <w:rFonts w:ascii="Calibri" w:hAnsi="Calibri" w:cs="Calibri"/>
          <w:b/>
          <w:bCs/>
          <w:sz w:val="22"/>
          <w:szCs w:val="22"/>
        </w:rPr>
        <w:t>a score of 82 out of 100</w:t>
      </w:r>
      <w:r w:rsidRPr="00DA2B4B">
        <w:rPr>
          <w:rFonts w:ascii="Calibri" w:hAnsi="Calibri" w:cs="Calibri"/>
          <w:sz w:val="22"/>
          <w:szCs w:val="22"/>
        </w:rPr>
        <w:t xml:space="preserve">. Beyond its dedicated digital nomad visa programme, the country offers access to stunning Adriatic coastlines, historic architecture and island-hopping opportunities that make it particularly appealing to those wanting to combine work with exploration. </w:t>
      </w:r>
    </w:p>
    <w:p w14:paraId="648DB931" w14:textId="77777777" w:rsidR="00DA2B4B" w:rsidRPr="00DA2B4B" w:rsidRDefault="00DA2B4B" w:rsidP="00DA2B4B">
      <w:pPr>
        <w:rPr>
          <w:rFonts w:ascii="Calibri" w:hAnsi="Calibri" w:cs="Calibri"/>
          <w:sz w:val="22"/>
          <w:szCs w:val="22"/>
        </w:rPr>
      </w:pPr>
    </w:p>
    <w:p w14:paraId="333BF2A0" w14:textId="14E6AEC8" w:rsidR="00DA2B4B" w:rsidRDefault="00DA2B4B" w:rsidP="00DA2B4B">
      <w:pPr>
        <w:rPr>
          <w:rFonts w:ascii="Calibri" w:hAnsi="Calibri" w:cs="Calibri"/>
          <w:sz w:val="22"/>
          <w:szCs w:val="22"/>
        </w:rPr>
      </w:pPr>
      <w:r w:rsidRPr="00EB232C">
        <w:rPr>
          <w:rFonts w:ascii="Calibri" w:hAnsi="Calibri" w:cs="Calibri"/>
          <w:b/>
          <w:bCs/>
          <w:sz w:val="22"/>
          <w:szCs w:val="22"/>
        </w:rPr>
        <w:t>Georgia</w:t>
      </w:r>
      <w:r w:rsidRPr="00DA2B4B">
        <w:rPr>
          <w:rFonts w:ascii="Calibri" w:hAnsi="Calibri" w:cs="Calibri"/>
          <w:sz w:val="22"/>
          <w:szCs w:val="22"/>
        </w:rPr>
        <w:t xml:space="preserve"> secured fourth place with </w:t>
      </w:r>
      <w:r w:rsidRPr="00EB232C">
        <w:rPr>
          <w:rFonts w:ascii="Calibri" w:hAnsi="Calibri" w:cs="Calibri"/>
          <w:b/>
          <w:bCs/>
          <w:sz w:val="22"/>
          <w:szCs w:val="22"/>
        </w:rPr>
        <w:t>a score of 81 out of 100</w:t>
      </w:r>
      <w:r w:rsidRPr="00DA2B4B">
        <w:rPr>
          <w:rFonts w:ascii="Calibri" w:hAnsi="Calibri" w:cs="Calibri"/>
          <w:sz w:val="22"/>
          <w:szCs w:val="22"/>
        </w:rPr>
        <w:t xml:space="preserve"> and stood out for its accessible visa requirements. The country has attracted growing interest from international professionals thanks to its dramatic mountain scenery, rich cultural heritage and rapidly evolving cities</w:t>
      </w:r>
      <w:r w:rsidR="00BB3414">
        <w:rPr>
          <w:rFonts w:ascii="Calibri" w:hAnsi="Calibri" w:cs="Calibri"/>
          <w:sz w:val="22"/>
          <w:szCs w:val="22"/>
        </w:rPr>
        <w:t xml:space="preserve"> f</w:t>
      </w:r>
      <w:r w:rsidRPr="00DA2B4B">
        <w:rPr>
          <w:rFonts w:ascii="Calibri" w:hAnsi="Calibri" w:cs="Calibri"/>
          <w:sz w:val="22"/>
          <w:szCs w:val="22"/>
        </w:rPr>
        <w:t>or remote workers seeking a destination that feels both authentic and undiscovered</w:t>
      </w:r>
      <w:r w:rsidR="00BB3414">
        <w:rPr>
          <w:rFonts w:ascii="Calibri" w:hAnsi="Calibri" w:cs="Calibri"/>
          <w:sz w:val="22"/>
          <w:szCs w:val="22"/>
        </w:rPr>
        <w:t>.</w:t>
      </w:r>
    </w:p>
    <w:p w14:paraId="2A2E97F2" w14:textId="77777777" w:rsidR="00DA2B4B" w:rsidRPr="00DA2B4B" w:rsidRDefault="00DA2B4B" w:rsidP="00DA2B4B">
      <w:pPr>
        <w:rPr>
          <w:rFonts w:ascii="Calibri" w:hAnsi="Calibri" w:cs="Calibri"/>
          <w:sz w:val="22"/>
          <w:szCs w:val="22"/>
        </w:rPr>
      </w:pPr>
    </w:p>
    <w:p w14:paraId="1DD7A278" w14:textId="57C06EC2" w:rsidR="00DA2B4B" w:rsidRDefault="00DA2B4B" w:rsidP="00DA2B4B">
      <w:pPr>
        <w:rPr>
          <w:rFonts w:ascii="Calibri" w:hAnsi="Calibri" w:cs="Calibri"/>
          <w:sz w:val="22"/>
          <w:szCs w:val="22"/>
        </w:rPr>
      </w:pPr>
      <w:r w:rsidRPr="00DA2B4B">
        <w:rPr>
          <w:rFonts w:ascii="Calibri" w:hAnsi="Calibri" w:cs="Calibri"/>
          <w:sz w:val="22"/>
          <w:szCs w:val="22"/>
        </w:rPr>
        <w:t xml:space="preserve">Rounding out the top five was </w:t>
      </w:r>
      <w:r w:rsidRPr="00BB3414">
        <w:rPr>
          <w:rFonts w:ascii="Calibri" w:hAnsi="Calibri" w:cs="Calibri"/>
          <w:b/>
          <w:bCs/>
          <w:sz w:val="22"/>
          <w:szCs w:val="22"/>
        </w:rPr>
        <w:t>Costa Rica</w:t>
      </w:r>
      <w:r w:rsidRPr="00DA2B4B">
        <w:rPr>
          <w:rFonts w:ascii="Calibri" w:hAnsi="Calibri" w:cs="Calibri"/>
          <w:sz w:val="22"/>
          <w:szCs w:val="22"/>
        </w:rPr>
        <w:t xml:space="preserve">, which </w:t>
      </w:r>
      <w:r w:rsidRPr="00BB3414">
        <w:rPr>
          <w:rFonts w:ascii="Calibri" w:hAnsi="Calibri" w:cs="Calibri"/>
          <w:b/>
          <w:bCs/>
          <w:sz w:val="22"/>
          <w:szCs w:val="22"/>
        </w:rPr>
        <w:t>scored 80 overall</w:t>
      </w:r>
      <w:r w:rsidRPr="00DA2B4B">
        <w:rPr>
          <w:rFonts w:ascii="Calibri" w:hAnsi="Calibri" w:cs="Calibri"/>
          <w:sz w:val="22"/>
          <w:szCs w:val="22"/>
        </w:rPr>
        <w:t xml:space="preserve"> and performed particularly strongly for lifestyle appeal. Renowned for its biodiversity, wellness-focused culture and outdoor way of life, the country offers remote workers the chance to enjoy everything from rainforest adventures to world-class beaches</w:t>
      </w:r>
      <w:r w:rsidR="00BB3414">
        <w:rPr>
          <w:rFonts w:ascii="Calibri" w:hAnsi="Calibri" w:cs="Calibri"/>
          <w:sz w:val="22"/>
          <w:szCs w:val="22"/>
        </w:rPr>
        <w:t>.</w:t>
      </w:r>
    </w:p>
    <w:p w14:paraId="6E992CBF" w14:textId="77777777" w:rsidR="00DA2B4B" w:rsidRPr="00DA2B4B" w:rsidRDefault="00DA2B4B" w:rsidP="00DA2B4B">
      <w:pPr>
        <w:rPr>
          <w:rFonts w:ascii="Calibri" w:hAnsi="Calibri" w:cs="Calibri"/>
          <w:sz w:val="22"/>
          <w:szCs w:val="22"/>
        </w:rPr>
      </w:pPr>
    </w:p>
    <w:p w14:paraId="74808DDD" w14:textId="3B1E154E" w:rsidR="00DA2B4B" w:rsidRPr="00DA2B4B" w:rsidRDefault="00DA2B4B" w:rsidP="00DA2B4B">
      <w:pPr>
        <w:rPr>
          <w:rFonts w:ascii="Calibri" w:hAnsi="Calibri" w:cs="Calibri"/>
          <w:sz w:val="22"/>
          <w:szCs w:val="22"/>
        </w:rPr>
      </w:pPr>
      <w:r w:rsidRPr="00DA2B4B">
        <w:rPr>
          <w:rFonts w:ascii="Calibri" w:hAnsi="Calibri" w:cs="Calibri"/>
          <w:sz w:val="22"/>
          <w:szCs w:val="22"/>
        </w:rPr>
        <w:t>Overall, the results highlight growing demand for destinations that combine cultural richness, exceptional lifestyle opportunities, reliable infrastructure and flexible visa programmes, allowing professionals to experience the world without putting their careers on hold.</w:t>
      </w:r>
    </w:p>
    <w:p w14:paraId="4AFF5B59" w14:textId="77777777" w:rsidR="00243EE6" w:rsidRPr="00591E31" w:rsidRDefault="00243EE6" w:rsidP="00F57570">
      <w:pPr>
        <w:rPr>
          <w:rFonts w:ascii="Calibri" w:hAnsi="Calibri" w:cs="Calibri"/>
          <w:sz w:val="22"/>
          <w:szCs w:val="22"/>
        </w:rPr>
      </w:pPr>
    </w:p>
    <w:p w14:paraId="288317BD" w14:textId="06178F43" w:rsidR="00DA2B4B" w:rsidRPr="00DA2B4B" w:rsidRDefault="00786CBC" w:rsidP="00DA2B4B">
      <w:pPr>
        <w:rPr>
          <w:rFonts w:ascii="Calibri" w:hAnsi="Calibri" w:cs="Calibri"/>
          <w:i/>
          <w:iCs/>
          <w:sz w:val="22"/>
          <w:szCs w:val="22"/>
        </w:rPr>
      </w:pPr>
      <w:r>
        <w:rPr>
          <w:rFonts w:ascii="Calibri" w:hAnsi="Calibri" w:cs="Calibri"/>
          <w:b/>
          <w:bCs/>
          <w:sz w:val="22"/>
          <w:szCs w:val="22"/>
        </w:rPr>
        <w:t>Katy Rodgers</w:t>
      </w:r>
      <w:r w:rsidR="009C3D49" w:rsidRPr="009C3D49">
        <w:rPr>
          <w:rFonts w:ascii="Calibri" w:hAnsi="Calibri" w:cs="Calibri"/>
          <w:b/>
          <w:bCs/>
          <w:sz w:val="22"/>
          <w:szCs w:val="22"/>
        </w:rPr>
        <w:t xml:space="preserve">, </w:t>
      </w:r>
      <w:r w:rsidR="00800405">
        <w:rPr>
          <w:rFonts w:ascii="Calibri" w:hAnsi="Calibri" w:cs="Calibri"/>
          <w:b/>
          <w:bCs/>
          <w:sz w:val="22"/>
          <w:szCs w:val="22"/>
        </w:rPr>
        <w:t>digital nomad expert</w:t>
      </w:r>
      <w:r w:rsidR="009C3D49" w:rsidRPr="009C3D49">
        <w:rPr>
          <w:rFonts w:ascii="Calibri" w:hAnsi="Calibri" w:cs="Calibri"/>
          <w:b/>
          <w:bCs/>
          <w:sz w:val="22"/>
          <w:szCs w:val="22"/>
        </w:rPr>
        <w:t xml:space="preserve"> at</w:t>
      </w:r>
      <w:r w:rsidR="00F57570" w:rsidRPr="009C3D49">
        <w:rPr>
          <w:rFonts w:ascii="Calibri" w:hAnsi="Calibri" w:cs="Calibri"/>
          <w:b/>
          <w:bCs/>
          <w:sz w:val="22"/>
          <w:szCs w:val="22"/>
        </w:rPr>
        <w:t xml:space="preserve"> </w:t>
      </w:r>
      <w:hyperlink r:id="rId8" w:history="1">
        <w:r w:rsidR="00F7067F" w:rsidRPr="00F7067F">
          <w:rPr>
            <w:rStyle w:val="Hyperlink"/>
            <w:rFonts w:ascii="Calibri" w:hAnsi="Calibri" w:cs="Calibri"/>
            <w:b/>
            <w:bCs/>
            <w:sz w:val="22"/>
            <w:szCs w:val="22"/>
          </w:rPr>
          <w:t>Bailey Robinson</w:t>
        </w:r>
      </w:hyperlink>
      <w:r w:rsidR="00F7067F">
        <w:rPr>
          <w:rFonts w:ascii="Calibri" w:hAnsi="Calibri" w:cs="Calibri"/>
          <w:b/>
          <w:bCs/>
          <w:sz w:val="22"/>
          <w:szCs w:val="22"/>
        </w:rPr>
        <w:t xml:space="preserve"> </w:t>
      </w:r>
      <w:r w:rsidR="00F57570" w:rsidRPr="009C3D49">
        <w:rPr>
          <w:rFonts w:ascii="Calibri" w:hAnsi="Calibri" w:cs="Calibri"/>
          <w:b/>
          <w:bCs/>
          <w:sz w:val="22"/>
          <w:szCs w:val="22"/>
        </w:rPr>
        <w:t>said:</w:t>
      </w:r>
      <w:r w:rsidR="000D53A7" w:rsidRPr="00591E31">
        <w:rPr>
          <w:rFonts w:ascii="Calibri" w:hAnsi="Calibri" w:cs="Calibri"/>
          <w:sz w:val="22"/>
          <w:szCs w:val="22"/>
        </w:rPr>
        <w:t xml:space="preserve"> </w:t>
      </w:r>
      <w:r w:rsidR="00DA2B4B" w:rsidRPr="00DA2B4B">
        <w:rPr>
          <w:rFonts w:ascii="Calibri" w:hAnsi="Calibri" w:cs="Calibri"/>
          <w:i/>
          <w:iCs/>
          <w:sz w:val="22"/>
          <w:szCs w:val="22"/>
        </w:rPr>
        <w:t>"Remote working has given people greater freedom than ever before, but many underestimate the complexity of living and working abroad legally. Many people are attracted by the opportunity to build a life in a new destination while continuing their careers, but there are several practical considerations that shouldn't be overlooked.</w:t>
      </w:r>
    </w:p>
    <w:p w14:paraId="48326661" w14:textId="77777777" w:rsidR="00DA2B4B" w:rsidRPr="00DA2B4B" w:rsidRDefault="00DA2B4B" w:rsidP="00DA2B4B">
      <w:pPr>
        <w:rPr>
          <w:rFonts w:ascii="Calibri" w:hAnsi="Calibri" w:cs="Calibri"/>
          <w:i/>
          <w:iCs/>
          <w:sz w:val="22"/>
          <w:szCs w:val="22"/>
        </w:rPr>
      </w:pPr>
      <w:r w:rsidRPr="00DA2B4B">
        <w:rPr>
          <w:rFonts w:ascii="Calibri" w:hAnsi="Calibri" w:cs="Calibri"/>
          <w:i/>
          <w:iCs/>
          <w:sz w:val="22"/>
          <w:szCs w:val="22"/>
        </w:rPr>
        <w:lastRenderedPageBreak/>
        <w:t>"Choosing a destination isn't just about finding somewhere attractive. Visa eligibility, income requirements, tax residency rules and local regulations can all affect whether a move is practical in the long term. The most successful relocations are those that balance lifestyle aspirations with careful financial and legal planning.</w:t>
      </w:r>
    </w:p>
    <w:p w14:paraId="508E8455" w14:textId="77777777" w:rsidR="00DA2B4B" w:rsidRPr="00DA2B4B" w:rsidRDefault="00DA2B4B" w:rsidP="00DA2B4B">
      <w:pPr>
        <w:rPr>
          <w:rFonts w:ascii="Calibri" w:hAnsi="Calibri" w:cs="Calibri"/>
          <w:i/>
          <w:iCs/>
          <w:sz w:val="22"/>
          <w:szCs w:val="22"/>
        </w:rPr>
      </w:pPr>
      <w:r w:rsidRPr="00DA2B4B">
        <w:rPr>
          <w:rFonts w:ascii="Calibri" w:hAnsi="Calibri" w:cs="Calibri"/>
          <w:i/>
          <w:iCs/>
          <w:sz w:val="22"/>
          <w:szCs w:val="22"/>
        </w:rPr>
        <w:t>"Today's remote professionals are increasingly looking beyond traditional city living and seeking destinations that offer exceptional lifestyle opportunities alongside career flexibility. The most attractive locations combine reliable infrastructure with rich cultural experiences, outstanding hospitality and the freedom to enjoy a more rewarding day-to-day lifestyle."</w:t>
      </w:r>
    </w:p>
    <w:p w14:paraId="1CB8BCA0" w14:textId="06779CB4" w:rsidR="000D53A7" w:rsidRPr="00591E31" w:rsidRDefault="000D53A7" w:rsidP="00DA2B4B">
      <w:pPr>
        <w:rPr>
          <w:rFonts w:ascii="Calibri" w:hAnsi="Calibri" w:cs="Calibri"/>
          <w:sz w:val="22"/>
          <w:szCs w:val="22"/>
        </w:rPr>
      </w:pPr>
    </w:p>
    <w:p w14:paraId="2C1DDC67" w14:textId="60E6BB80" w:rsidR="00F56B96" w:rsidRPr="00591E31" w:rsidRDefault="00F56B96">
      <w:pPr>
        <w:rPr>
          <w:rFonts w:ascii="Calibri" w:hAnsi="Calibri" w:cs="Calibri"/>
          <w:b/>
          <w:bCs/>
          <w:sz w:val="22"/>
          <w:szCs w:val="22"/>
          <w:u w:val="single"/>
        </w:rPr>
      </w:pPr>
      <w:r w:rsidRPr="00591E31">
        <w:rPr>
          <w:rFonts w:ascii="Calibri" w:hAnsi="Calibri" w:cs="Calibri"/>
          <w:b/>
          <w:bCs/>
          <w:sz w:val="22"/>
          <w:szCs w:val="22"/>
          <w:u w:val="single"/>
        </w:rPr>
        <w:t xml:space="preserve">5 </w:t>
      </w:r>
      <w:r w:rsidR="004C690A" w:rsidRPr="00591E31">
        <w:rPr>
          <w:rFonts w:ascii="Calibri" w:hAnsi="Calibri" w:cs="Calibri"/>
          <w:b/>
          <w:bCs/>
          <w:sz w:val="22"/>
          <w:szCs w:val="22"/>
          <w:u w:val="single"/>
        </w:rPr>
        <w:t>Areas to explore before starting a</w:t>
      </w:r>
      <w:r w:rsidR="009C3D49">
        <w:rPr>
          <w:rFonts w:ascii="Calibri" w:hAnsi="Calibri" w:cs="Calibri"/>
          <w:b/>
          <w:bCs/>
          <w:sz w:val="22"/>
          <w:szCs w:val="22"/>
          <w:u w:val="single"/>
        </w:rPr>
        <w:t xml:space="preserve"> career</w:t>
      </w:r>
      <w:r w:rsidR="004C690A" w:rsidRPr="00591E31">
        <w:rPr>
          <w:rFonts w:ascii="Calibri" w:hAnsi="Calibri" w:cs="Calibri"/>
          <w:b/>
          <w:bCs/>
          <w:sz w:val="22"/>
          <w:szCs w:val="22"/>
          <w:u w:val="single"/>
        </w:rPr>
        <w:t xml:space="preserve"> abroad:</w:t>
      </w:r>
    </w:p>
    <w:p w14:paraId="141E9088" w14:textId="53ABDB31" w:rsidR="00F56B96" w:rsidRPr="00591E31" w:rsidRDefault="005D28A5">
      <w:pPr>
        <w:rPr>
          <w:rFonts w:ascii="Calibri" w:hAnsi="Calibri" w:cs="Calibri"/>
          <w:sz w:val="22"/>
          <w:szCs w:val="22"/>
        </w:rPr>
      </w:pPr>
      <w:r w:rsidRPr="005D28A5">
        <w:rPr>
          <w:rFonts w:ascii="Calibri" w:hAnsi="Calibri" w:cs="Calibri"/>
          <w:sz w:val="22"/>
          <w:szCs w:val="22"/>
        </w:rPr>
        <w:t>For those considering relocating abroad as a remote worker,</w:t>
      </w:r>
      <w:r>
        <w:rPr>
          <w:rFonts w:ascii="Calibri" w:hAnsi="Calibri" w:cs="Calibri"/>
          <w:sz w:val="22"/>
          <w:szCs w:val="22"/>
        </w:rPr>
        <w:t xml:space="preserve"> </w:t>
      </w:r>
      <w:hyperlink r:id="rId9" w:history="1">
        <w:r w:rsidR="00F7067F" w:rsidRPr="00F7067F">
          <w:rPr>
            <w:rStyle w:val="Hyperlink"/>
            <w:rFonts w:ascii="Calibri" w:hAnsi="Calibri" w:cs="Calibri"/>
            <w:b/>
            <w:bCs/>
            <w:sz w:val="22"/>
            <w:szCs w:val="22"/>
          </w:rPr>
          <w:t>Bailey Robinson</w:t>
        </w:r>
      </w:hyperlink>
      <w:r w:rsidR="00F7067F">
        <w:rPr>
          <w:rFonts w:ascii="Calibri" w:hAnsi="Calibri" w:cs="Calibri"/>
          <w:b/>
          <w:bCs/>
          <w:sz w:val="22"/>
          <w:szCs w:val="22"/>
        </w:rPr>
        <w:t xml:space="preserve"> </w:t>
      </w:r>
      <w:r w:rsidR="00DC77A2" w:rsidRPr="00591E31">
        <w:rPr>
          <w:rFonts w:ascii="Calibri" w:hAnsi="Calibri" w:cs="Calibri"/>
          <w:sz w:val="22"/>
          <w:szCs w:val="22"/>
        </w:rPr>
        <w:t>recommends:</w:t>
      </w:r>
    </w:p>
    <w:p w14:paraId="123B8AB8" w14:textId="04577D29" w:rsidR="0017199D" w:rsidRPr="0017199D" w:rsidRDefault="0017199D" w:rsidP="0017199D">
      <w:pPr>
        <w:pStyle w:val="ListParagraph"/>
        <w:numPr>
          <w:ilvl w:val="0"/>
          <w:numId w:val="3"/>
        </w:numPr>
        <w:rPr>
          <w:rFonts w:ascii="Calibri" w:hAnsi="Calibri" w:cs="Calibri"/>
          <w:b/>
          <w:bCs/>
          <w:sz w:val="22"/>
          <w:szCs w:val="22"/>
        </w:rPr>
      </w:pPr>
      <w:r w:rsidRPr="0017199D">
        <w:rPr>
          <w:rFonts w:ascii="Calibri" w:hAnsi="Calibri" w:cs="Calibri"/>
          <w:b/>
          <w:bCs/>
          <w:sz w:val="22"/>
          <w:szCs w:val="22"/>
        </w:rPr>
        <w:t xml:space="preserve">Research </w:t>
      </w:r>
      <w:r w:rsidR="003A7041">
        <w:rPr>
          <w:rFonts w:ascii="Calibri" w:hAnsi="Calibri" w:cs="Calibri"/>
          <w:b/>
          <w:bCs/>
          <w:sz w:val="22"/>
          <w:szCs w:val="22"/>
        </w:rPr>
        <w:t>v</w:t>
      </w:r>
      <w:r w:rsidRPr="0017199D">
        <w:rPr>
          <w:rFonts w:ascii="Calibri" w:hAnsi="Calibri" w:cs="Calibri"/>
          <w:b/>
          <w:bCs/>
          <w:sz w:val="22"/>
          <w:szCs w:val="22"/>
        </w:rPr>
        <w:t xml:space="preserve">isa </w:t>
      </w:r>
      <w:r w:rsidR="003A7041">
        <w:rPr>
          <w:rFonts w:ascii="Calibri" w:hAnsi="Calibri" w:cs="Calibri"/>
          <w:b/>
          <w:bCs/>
          <w:sz w:val="22"/>
          <w:szCs w:val="22"/>
        </w:rPr>
        <w:t>r</w:t>
      </w:r>
      <w:r w:rsidRPr="0017199D">
        <w:rPr>
          <w:rFonts w:ascii="Calibri" w:hAnsi="Calibri" w:cs="Calibri"/>
          <w:b/>
          <w:bCs/>
          <w:sz w:val="22"/>
          <w:szCs w:val="22"/>
        </w:rPr>
        <w:t xml:space="preserve">equirements </w:t>
      </w:r>
      <w:r w:rsidR="003A7041">
        <w:rPr>
          <w:rFonts w:ascii="Calibri" w:hAnsi="Calibri" w:cs="Calibri"/>
          <w:b/>
          <w:bCs/>
          <w:sz w:val="22"/>
          <w:szCs w:val="22"/>
        </w:rPr>
        <w:t>t</w:t>
      </w:r>
      <w:r w:rsidRPr="0017199D">
        <w:rPr>
          <w:rFonts w:ascii="Calibri" w:hAnsi="Calibri" w:cs="Calibri"/>
          <w:b/>
          <w:bCs/>
          <w:sz w:val="22"/>
          <w:szCs w:val="22"/>
        </w:rPr>
        <w:t xml:space="preserve">horoughly </w:t>
      </w:r>
      <w:r>
        <w:rPr>
          <w:rFonts w:ascii="Calibri" w:hAnsi="Calibri" w:cs="Calibri"/>
          <w:b/>
          <w:bCs/>
          <w:sz w:val="22"/>
          <w:szCs w:val="22"/>
        </w:rPr>
        <w:t xml:space="preserve">- </w:t>
      </w:r>
      <w:r w:rsidRPr="0017199D">
        <w:rPr>
          <w:rFonts w:ascii="Calibri" w:hAnsi="Calibri" w:cs="Calibri"/>
          <w:sz w:val="22"/>
          <w:szCs w:val="22"/>
        </w:rPr>
        <w:t>Not all countries permit foreign nationals to work remotely while visiting. Dedicated digital nomad visas can provide legal certainty and often allow for longer stays than standard tourist visas.</w:t>
      </w:r>
    </w:p>
    <w:p w14:paraId="079BD870" w14:textId="77777777" w:rsidR="0017199D" w:rsidRPr="0017199D" w:rsidRDefault="0017199D" w:rsidP="0017199D">
      <w:pPr>
        <w:pStyle w:val="ListParagraph"/>
        <w:rPr>
          <w:rFonts w:ascii="Calibri" w:hAnsi="Calibri" w:cs="Calibri"/>
          <w:b/>
          <w:bCs/>
          <w:sz w:val="22"/>
          <w:szCs w:val="22"/>
        </w:rPr>
      </w:pPr>
    </w:p>
    <w:p w14:paraId="07D180BB" w14:textId="157AE444" w:rsidR="0017199D" w:rsidRPr="0017199D" w:rsidRDefault="0017199D" w:rsidP="0017199D">
      <w:pPr>
        <w:pStyle w:val="ListParagraph"/>
        <w:numPr>
          <w:ilvl w:val="0"/>
          <w:numId w:val="3"/>
        </w:numPr>
        <w:rPr>
          <w:rFonts w:ascii="Calibri" w:hAnsi="Calibri" w:cs="Calibri"/>
          <w:b/>
          <w:bCs/>
          <w:sz w:val="22"/>
          <w:szCs w:val="22"/>
        </w:rPr>
      </w:pPr>
      <w:r w:rsidRPr="0017199D">
        <w:rPr>
          <w:rFonts w:ascii="Calibri" w:hAnsi="Calibri" w:cs="Calibri"/>
          <w:b/>
          <w:bCs/>
          <w:sz w:val="22"/>
          <w:szCs w:val="22"/>
        </w:rPr>
        <w:t xml:space="preserve">Understand </w:t>
      </w:r>
      <w:r w:rsidR="003A7041">
        <w:rPr>
          <w:rFonts w:ascii="Calibri" w:hAnsi="Calibri" w:cs="Calibri"/>
          <w:b/>
          <w:bCs/>
          <w:sz w:val="22"/>
          <w:szCs w:val="22"/>
        </w:rPr>
        <w:t>p</w:t>
      </w:r>
      <w:r w:rsidRPr="0017199D">
        <w:rPr>
          <w:rFonts w:ascii="Calibri" w:hAnsi="Calibri" w:cs="Calibri"/>
          <w:b/>
          <w:bCs/>
          <w:sz w:val="22"/>
          <w:szCs w:val="22"/>
        </w:rPr>
        <w:t xml:space="preserve">otential </w:t>
      </w:r>
      <w:r w:rsidR="003A7041">
        <w:rPr>
          <w:rFonts w:ascii="Calibri" w:hAnsi="Calibri" w:cs="Calibri"/>
          <w:b/>
          <w:bCs/>
          <w:sz w:val="22"/>
          <w:szCs w:val="22"/>
        </w:rPr>
        <w:t>t</w:t>
      </w:r>
      <w:r w:rsidRPr="0017199D">
        <w:rPr>
          <w:rFonts w:ascii="Calibri" w:hAnsi="Calibri" w:cs="Calibri"/>
          <w:b/>
          <w:bCs/>
          <w:sz w:val="22"/>
          <w:szCs w:val="22"/>
        </w:rPr>
        <w:t xml:space="preserve">ax </w:t>
      </w:r>
      <w:r w:rsidR="003A7041">
        <w:rPr>
          <w:rFonts w:ascii="Calibri" w:hAnsi="Calibri" w:cs="Calibri"/>
          <w:b/>
          <w:bCs/>
          <w:sz w:val="22"/>
          <w:szCs w:val="22"/>
        </w:rPr>
        <w:t>o</w:t>
      </w:r>
      <w:r w:rsidRPr="0017199D">
        <w:rPr>
          <w:rFonts w:ascii="Calibri" w:hAnsi="Calibri" w:cs="Calibri"/>
          <w:b/>
          <w:bCs/>
          <w:sz w:val="22"/>
          <w:szCs w:val="22"/>
        </w:rPr>
        <w:t xml:space="preserve">bligations </w:t>
      </w:r>
      <w:r>
        <w:rPr>
          <w:rFonts w:ascii="Calibri" w:hAnsi="Calibri" w:cs="Calibri"/>
          <w:b/>
          <w:bCs/>
          <w:sz w:val="22"/>
          <w:szCs w:val="22"/>
        </w:rPr>
        <w:t>-</w:t>
      </w:r>
      <w:r w:rsidRPr="0017199D">
        <w:rPr>
          <w:rFonts w:ascii="Calibri" w:hAnsi="Calibri" w:cs="Calibri"/>
          <w:b/>
          <w:bCs/>
          <w:sz w:val="22"/>
          <w:szCs w:val="22"/>
        </w:rPr>
        <w:t xml:space="preserve"> </w:t>
      </w:r>
      <w:r w:rsidRPr="0017199D">
        <w:rPr>
          <w:rFonts w:ascii="Calibri" w:hAnsi="Calibri" w:cs="Calibri"/>
          <w:sz w:val="22"/>
          <w:szCs w:val="22"/>
        </w:rPr>
        <w:t>Spending extended periods abroad can sometimes trigger local tax residency requirements. Remote workers should familiarise themselves with local regulations and seek professional advice where necessary.</w:t>
      </w:r>
    </w:p>
    <w:p w14:paraId="185AC913" w14:textId="77777777" w:rsidR="0017199D" w:rsidRDefault="0017199D" w:rsidP="0017199D">
      <w:pPr>
        <w:pStyle w:val="ListParagraph"/>
        <w:rPr>
          <w:rFonts w:ascii="Calibri" w:hAnsi="Calibri" w:cs="Calibri"/>
          <w:b/>
          <w:bCs/>
          <w:sz w:val="22"/>
          <w:szCs w:val="22"/>
        </w:rPr>
      </w:pPr>
    </w:p>
    <w:p w14:paraId="2FF9355E" w14:textId="33655F63" w:rsidR="0017199D" w:rsidRPr="0017199D" w:rsidRDefault="0017199D" w:rsidP="0017199D">
      <w:pPr>
        <w:pStyle w:val="ListParagraph"/>
        <w:numPr>
          <w:ilvl w:val="0"/>
          <w:numId w:val="3"/>
        </w:numPr>
        <w:rPr>
          <w:rFonts w:ascii="Calibri" w:hAnsi="Calibri" w:cs="Calibri"/>
          <w:b/>
          <w:bCs/>
          <w:sz w:val="22"/>
          <w:szCs w:val="22"/>
        </w:rPr>
      </w:pPr>
      <w:r w:rsidRPr="0017199D">
        <w:rPr>
          <w:rFonts w:ascii="Calibri" w:hAnsi="Calibri" w:cs="Calibri"/>
          <w:b/>
          <w:bCs/>
          <w:sz w:val="22"/>
          <w:szCs w:val="22"/>
        </w:rPr>
        <w:t xml:space="preserve">Consider the </w:t>
      </w:r>
      <w:r w:rsidR="003A7041">
        <w:rPr>
          <w:rFonts w:ascii="Calibri" w:hAnsi="Calibri" w:cs="Calibri"/>
          <w:b/>
          <w:bCs/>
          <w:sz w:val="22"/>
          <w:szCs w:val="22"/>
        </w:rPr>
        <w:t>f</w:t>
      </w:r>
      <w:r w:rsidRPr="0017199D">
        <w:rPr>
          <w:rFonts w:ascii="Calibri" w:hAnsi="Calibri" w:cs="Calibri"/>
          <w:b/>
          <w:bCs/>
          <w:sz w:val="22"/>
          <w:szCs w:val="22"/>
        </w:rPr>
        <w:t xml:space="preserve">ull </w:t>
      </w:r>
      <w:r w:rsidR="003A7041">
        <w:rPr>
          <w:rFonts w:ascii="Calibri" w:hAnsi="Calibri" w:cs="Calibri"/>
          <w:b/>
          <w:bCs/>
          <w:sz w:val="22"/>
          <w:szCs w:val="22"/>
        </w:rPr>
        <w:t>r</w:t>
      </w:r>
      <w:r w:rsidRPr="0017199D">
        <w:rPr>
          <w:rFonts w:ascii="Calibri" w:hAnsi="Calibri" w:cs="Calibri"/>
          <w:b/>
          <w:bCs/>
          <w:sz w:val="22"/>
          <w:szCs w:val="22"/>
        </w:rPr>
        <w:t xml:space="preserve">elocation </w:t>
      </w:r>
      <w:r w:rsidR="003A7041">
        <w:rPr>
          <w:rFonts w:ascii="Calibri" w:hAnsi="Calibri" w:cs="Calibri"/>
          <w:b/>
          <w:bCs/>
          <w:sz w:val="22"/>
          <w:szCs w:val="22"/>
        </w:rPr>
        <w:t>e</w:t>
      </w:r>
      <w:r w:rsidRPr="0017199D">
        <w:rPr>
          <w:rFonts w:ascii="Calibri" w:hAnsi="Calibri" w:cs="Calibri"/>
          <w:b/>
          <w:bCs/>
          <w:sz w:val="22"/>
          <w:szCs w:val="22"/>
        </w:rPr>
        <w:t xml:space="preserve">xperience </w:t>
      </w:r>
      <w:r>
        <w:rPr>
          <w:rFonts w:ascii="Calibri" w:hAnsi="Calibri" w:cs="Calibri"/>
          <w:b/>
          <w:bCs/>
          <w:sz w:val="22"/>
          <w:szCs w:val="22"/>
        </w:rPr>
        <w:t>-</w:t>
      </w:r>
      <w:r w:rsidRPr="0017199D">
        <w:rPr>
          <w:rFonts w:ascii="Calibri" w:hAnsi="Calibri" w:cs="Calibri"/>
          <w:b/>
          <w:bCs/>
          <w:sz w:val="22"/>
          <w:szCs w:val="22"/>
        </w:rPr>
        <w:t xml:space="preserve"> </w:t>
      </w:r>
      <w:r w:rsidRPr="0017199D">
        <w:rPr>
          <w:rFonts w:ascii="Calibri" w:hAnsi="Calibri" w:cs="Calibri"/>
          <w:sz w:val="22"/>
          <w:szCs w:val="22"/>
        </w:rPr>
        <w:t>Accommodation is only one aspect of life abroad. Healthcare, transportation, insurance, workspace requirements and access to amenities should all form part of the decision-making process.</w:t>
      </w:r>
    </w:p>
    <w:p w14:paraId="5D77CDEA" w14:textId="77777777" w:rsidR="0017199D" w:rsidRDefault="0017199D" w:rsidP="0017199D">
      <w:pPr>
        <w:pStyle w:val="ListParagraph"/>
        <w:rPr>
          <w:rFonts w:ascii="Calibri" w:hAnsi="Calibri" w:cs="Calibri"/>
          <w:b/>
          <w:bCs/>
          <w:sz w:val="22"/>
          <w:szCs w:val="22"/>
        </w:rPr>
      </w:pPr>
    </w:p>
    <w:p w14:paraId="06811558" w14:textId="507D63F2" w:rsidR="0017199D" w:rsidRPr="0017199D" w:rsidRDefault="0017199D" w:rsidP="0017199D">
      <w:pPr>
        <w:pStyle w:val="ListParagraph"/>
        <w:numPr>
          <w:ilvl w:val="0"/>
          <w:numId w:val="3"/>
        </w:numPr>
        <w:rPr>
          <w:rFonts w:ascii="Calibri" w:hAnsi="Calibri" w:cs="Calibri"/>
          <w:b/>
          <w:bCs/>
          <w:sz w:val="22"/>
          <w:szCs w:val="22"/>
        </w:rPr>
      </w:pPr>
      <w:r w:rsidRPr="0017199D">
        <w:rPr>
          <w:rFonts w:ascii="Calibri" w:hAnsi="Calibri" w:cs="Calibri"/>
          <w:b/>
          <w:bCs/>
          <w:sz w:val="22"/>
          <w:szCs w:val="22"/>
        </w:rPr>
        <w:t xml:space="preserve">Prioritise </w:t>
      </w:r>
      <w:r w:rsidR="003A7041">
        <w:rPr>
          <w:rFonts w:ascii="Calibri" w:hAnsi="Calibri" w:cs="Calibri"/>
          <w:b/>
          <w:bCs/>
          <w:sz w:val="22"/>
          <w:szCs w:val="22"/>
        </w:rPr>
        <w:t>r</w:t>
      </w:r>
      <w:r w:rsidRPr="0017199D">
        <w:rPr>
          <w:rFonts w:ascii="Calibri" w:hAnsi="Calibri" w:cs="Calibri"/>
          <w:b/>
          <w:bCs/>
          <w:sz w:val="22"/>
          <w:szCs w:val="22"/>
        </w:rPr>
        <w:t xml:space="preserve">eliable </w:t>
      </w:r>
      <w:r w:rsidR="003A7041">
        <w:rPr>
          <w:rFonts w:ascii="Calibri" w:hAnsi="Calibri" w:cs="Calibri"/>
          <w:b/>
          <w:bCs/>
          <w:sz w:val="22"/>
          <w:szCs w:val="22"/>
        </w:rPr>
        <w:t>i</w:t>
      </w:r>
      <w:r w:rsidRPr="0017199D">
        <w:rPr>
          <w:rFonts w:ascii="Calibri" w:hAnsi="Calibri" w:cs="Calibri"/>
          <w:b/>
          <w:bCs/>
          <w:sz w:val="22"/>
          <w:szCs w:val="22"/>
        </w:rPr>
        <w:t xml:space="preserve">nfrastructure </w:t>
      </w:r>
      <w:r>
        <w:rPr>
          <w:rFonts w:ascii="Calibri" w:hAnsi="Calibri" w:cs="Calibri"/>
          <w:b/>
          <w:bCs/>
          <w:sz w:val="22"/>
          <w:szCs w:val="22"/>
        </w:rPr>
        <w:t>-</w:t>
      </w:r>
      <w:r w:rsidRPr="0017199D">
        <w:rPr>
          <w:rFonts w:ascii="Calibri" w:hAnsi="Calibri" w:cs="Calibri"/>
          <w:b/>
          <w:bCs/>
          <w:sz w:val="22"/>
          <w:szCs w:val="22"/>
        </w:rPr>
        <w:t xml:space="preserve"> </w:t>
      </w:r>
      <w:r w:rsidRPr="0017199D">
        <w:rPr>
          <w:rFonts w:ascii="Calibri" w:hAnsi="Calibri" w:cs="Calibri"/>
          <w:sz w:val="22"/>
          <w:szCs w:val="22"/>
        </w:rPr>
        <w:t>Stable internet connections, coworking facilities and strong transport links remain essential for professionals working remotely full time.</w:t>
      </w:r>
    </w:p>
    <w:p w14:paraId="6304B31F" w14:textId="77777777" w:rsidR="0017199D" w:rsidRPr="0017199D" w:rsidRDefault="0017199D" w:rsidP="0017199D">
      <w:pPr>
        <w:pStyle w:val="ListParagraph"/>
        <w:rPr>
          <w:rFonts w:ascii="Calibri" w:hAnsi="Calibri" w:cs="Calibri"/>
          <w:sz w:val="22"/>
          <w:szCs w:val="22"/>
        </w:rPr>
      </w:pPr>
    </w:p>
    <w:p w14:paraId="6AD48DC1" w14:textId="6B343620" w:rsidR="00120FB8" w:rsidRPr="0017199D" w:rsidRDefault="0017199D" w:rsidP="0017199D">
      <w:pPr>
        <w:pStyle w:val="ListParagraph"/>
        <w:numPr>
          <w:ilvl w:val="0"/>
          <w:numId w:val="3"/>
        </w:numPr>
        <w:rPr>
          <w:rFonts w:ascii="Calibri" w:hAnsi="Calibri" w:cs="Calibri"/>
          <w:sz w:val="22"/>
          <w:szCs w:val="22"/>
        </w:rPr>
      </w:pPr>
      <w:r w:rsidRPr="0017199D">
        <w:rPr>
          <w:rFonts w:ascii="Calibri" w:hAnsi="Calibri" w:cs="Calibri"/>
          <w:b/>
          <w:bCs/>
          <w:sz w:val="22"/>
          <w:szCs w:val="22"/>
        </w:rPr>
        <w:t xml:space="preserve">Consider </w:t>
      </w:r>
      <w:r w:rsidR="003A7041">
        <w:rPr>
          <w:rFonts w:ascii="Calibri" w:hAnsi="Calibri" w:cs="Calibri"/>
          <w:b/>
          <w:bCs/>
          <w:sz w:val="22"/>
          <w:szCs w:val="22"/>
        </w:rPr>
        <w:t>l</w:t>
      </w:r>
      <w:r w:rsidRPr="0017199D">
        <w:rPr>
          <w:rFonts w:ascii="Calibri" w:hAnsi="Calibri" w:cs="Calibri"/>
          <w:b/>
          <w:bCs/>
          <w:sz w:val="22"/>
          <w:szCs w:val="22"/>
        </w:rPr>
        <w:t>ong-</w:t>
      </w:r>
      <w:r w:rsidR="003A7041">
        <w:rPr>
          <w:rFonts w:ascii="Calibri" w:hAnsi="Calibri" w:cs="Calibri"/>
          <w:b/>
          <w:bCs/>
          <w:sz w:val="22"/>
          <w:szCs w:val="22"/>
        </w:rPr>
        <w:t>t</w:t>
      </w:r>
      <w:r w:rsidRPr="0017199D">
        <w:rPr>
          <w:rFonts w:ascii="Calibri" w:hAnsi="Calibri" w:cs="Calibri"/>
          <w:b/>
          <w:bCs/>
          <w:sz w:val="22"/>
          <w:szCs w:val="22"/>
        </w:rPr>
        <w:t xml:space="preserve">erm </w:t>
      </w:r>
      <w:r w:rsidR="003A7041">
        <w:rPr>
          <w:rFonts w:ascii="Calibri" w:hAnsi="Calibri" w:cs="Calibri"/>
          <w:b/>
          <w:bCs/>
          <w:sz w:val="22"/>
          <w:szCs w:val="22"/>
        </w:rPr>
        <w:t>l</w:t>
      </w:r>
      <w:r w:rsidRPr="0017199D">
        <w:rPr>
          <w:rFonts w:ascii="Calibri" w:hAnsi="Calibri" w:cs="Calibri"/>
          <w:b/>
          <w:bCs/>
          <w:sz w:val="22"/>
          <w:szCs w:val="22"/>
        </w:rPr>
        <w:t xml:space="preserve">ifestyle </w:t>
      </w:r>
      <w:r w:rsidR="003A7041">
        <w:rPr>
          <w:rFonts w:ascii="Calibri" w:hAnsi="Calibri" w:cs="Calibri"/>
          <w:b/>
          <w:bCs/>
          <w:sz w:val="22"/>
          <w:szCs w:val="22"/>
        </w:rPr>
        <w:t>g</w:t>
      </w:r>
      <w:r w:rsidRPr="0017199D">
        <w:rPr>
          <w:rFonts w:ascii="Calibri" w:hAnsi="Calibri" w:cs="Calibri"/>
          <w:b/>
          <w:bCs/>
          <w:sz w:val="22"/>
          <w:szCs w:val="22"/>
        </w:rPr>
        <w:t xml:space="preserve">oals </w:t>
      </w:r>
      <w:r>
        <w:rPr>
          <w:rFonts w:ascii="Calibri" w:hAnsi="Calibri" w:cs="Calibri"/>
          <w:b/>
          <w:bCs/>
          <w:sz w:val="22"/>
          <w:szCs w:val="22"/>
        </w:rPr>
        <w:t xml:space="preserve">- </w:t>
      </w:r>
      <w:r w:rsidRPr="0017199D">
        <w:rPr>
          <w:rFonts w:ascii="Calibri" w:hAnsi="Calibri" w:cs="Calibri"/>
          <w:sz w:val="22"/>
          <w:szCs w:val="22"/>
        </w:rPr>
        <w:t>While practical considerations are important, many remote workers ultimately choose destinations that offer strong communities, excellent healthcare, safety and an exceptional quality of life.</w:t>
      </w:r>
    </w:p>
    <w:p w14:paraId="4D8AA034" w14:textId="77777777" w:rsidR="0017199D" w:rsidRDefault="0017199D" w:rsidP="00120FB8">
      <w:pPr>
        <w:rPr>
          <w:rFonts w:ascii="Calibri" w:hAnsi="Calibri" w:cs="Calibri"/>
          <w:b/>
          <w:bCs/>
          <w:sz w:val="22"/>
          <w:szCs w:val="22"/>
        </w:rPr>
      </w:pPr>
    </w:p>
    <w:p w14:paraId="2EEF924C" w14:textId="4100222B" w:rsidR="00120FB8" w:rsidRPr="00591E31" w:rsidRDefault="00786CBC" w:rsidP="00120FB8">
      <w:pPr>
        <w:rPr>
          <w:rFonts w:ascii="Calibri" w:hAnsi="Calibri" w:cs="Calibri"/>
          <w:sz w:val="22"/>
          <w:szCs w:val="22"/>
        </w:rPr>
      </w:pPr>
      <w:r>
        <w:rPr>
          <w:rFonts w:ascii="Calibri" w:hAnsi="Calibri" w:cs="Calibri"/>
          <w:b/>
          <w:bCs/>
          <w:sz w:val="22"/>
          <w:szCs w:val="22"/>
        </w:rPr>
        <w:t>Katy</w:t>
      </w:r>
      <w:r w:rsidR="00942188" w:rsidRPr="009C3D49">
        <w:rPr>
          <w:rFonts w:ascii="Calibri" w:hAnsi="Calibri" w:cs="Calibri"/>
          <w:b/>
          <w:bCs/>
          <w:sz w:val="22"/>
          <w:szCs w:val="22"/>
        </w:rPr>
        <w:t xml:space="preserve"> </w:t>
      </w:r>
      <w:r w:rsidR="009C3D49" w:rsidRPr="009C3D49">
        <w:rPr>
          <w:rFonts w:ascii="Calibri" w:hAnsi="Calibri" w:cs="Calibri"/>
          <w:b/>
          <w:bCs/>
          <w:sz w:val="22"/>
          <w:szCs w:val="22"/>
        </w:rPr>
        <w:t>added:</w:t>
      </w:r>
      <w:r w:rsidR="009C3D49">
        <w:rPr>
          <w:rFonts w:ascii="Calibri" w:hAnsi="Calibri" w:cs="Calibri"/>
          <w:sz w:val="22"/>
          <w:szCs w:val="22"/>
        </w:rPr>
        <w:t xml:space="preserve"> </w:t>
      </w:r>
      <w:r w:rsidR="00F219A8" w:rsidRPr="00F219A8">
        <w:rPr>
          <w:rFonts w:ascii="Calibri" w:hAnsi="Calibri" w:cs="Calibri"/>
          <w:i/>
          <w:iCs/>
          <w:sz w:val="22"/>
          <w:szCs w:val="22"/>
        </w:rPr>
        <w:t>"For many professionals, digital nomadism is no longer about backpacking or short-term travel. Increasingly, people are looking for destinations where they can build a sustainable lifestyle, experience new cultures and enjoy a higher quality of life without sacrificing career progression."</w:t>
      </w:r>
    </w:p>
    <w:p w14:paraId="2A6C0E32" w14:textId="77777777" w:rsidR="004903EA" w:rsidRDefault="004903EA" w:rsidP="004903EA">
      <w:pPr>
        <w:rPr>
          <w:rFonts w:ascii="Calibri" w:hAnsi="Calibri" w:cs="Calibri"/>
          <w:i/>
          <w:iCs/>
          <w:sz w:val="20"/>
          <w:szCs w:val="20"/>
        </w:rPr>
      </w:pPr>
    </w:p>
    <w:p w14:paraId="32431A49" w14:textId="77473B98" w:rsidR="007C7ACC" w:rsidRPr="001D372E" w:rsidRDefault="007C7ACC" w:rsidP="007C7ACC">
      <w:pPr>
        <w:rPr>
          <w:rFonts w:ascii="Calibri" w:hAnsi="Calibri" w:cs="Calibri"/>
          <w:sz w:val="20"/>
          <w:szCs w:val="20"/>
          <w:u w:val="single"/>
        </w:rPr>
      </w:pPr>
      <w:r w:rsidRPr="001D372E">
        <w:rPr>
          <w:rFonts w:ascii="Calibri" w:hAnsi="Calibri" w:cs="Calibri"/>
          <w:b/>
          <w:bCs/>
          <w:sz w:val="20"/>
          <w:szCs w:val="20"/>
          <w:u w:val="single"/>
        </w:rPr>
        <w:t>Methodology</w:t>
      </w:r>
      <w:r w:rsidR="001D372E" w:rsidRPr="001D372E">
        <w:rPr>
          <w:rFonts w:ascii="Calibri" w:hAnsi="Calibri" w:cs="Calibri"/>
          <w:b/>
          <w:bCs/>
          <w:sz w:val="20"/>
          <w:szCs w:val="20"/>
          <w:u w:val="single"/>
        </w:rPr>
        <w:t>:</w:t>
      </w:r>
    </w:p>
    <w:p w14:paraId="1D42476D" w14:textId="1D3C8D92" w:rsidR="007C7ACC" w:rsidRPr="001D372E" w:rsidRDefault="001D372E" w:rsidP="007C7ACC">
      <w:pPr>
        <w:pStyle w:val="ListParagraph"/>
        <w:numPr>
          <w:ilvl w:val="0"/>
          <w:numId w:val="4"/>
        </w:numPr>
        <w:rPr>
          <w:rFonts w:ascii="Calibri" w:hAnsi="Calibri" w:cs="Calibri"/>
          <w:sz w:val="20"/>
          <w:szCs w:val="20"/>
        </w:rPr>
      </w:pPr>
      <w:hyperlink r:id="rId10" w:history="1">
        <w:r w:rsidRPr="001D372E">
          <w:rPr>
            <w:rStyle w:val="Hyperlink"/>
            <w:rFonts w:ascii="Calibri" w:hAnsi="Calibri" w:cs="Calibri"/>
            <w:b/>
            <w:bCs/>
            <w:sz w:val="20"/>
            <w:szCs w:val="20"/>
          </w:rPr>
          <w:t>Bailey Robinson</w:t>
        </w:r>
      </w:hyperlink>
      <w:r>
        <w:t xml:space="preserve"> </w:t>
      </w:r>
      <w:r w:rsidR="007C7ACC" w:rsidRPr="001D372E">
        <w:rPr>
          <w:rFonts w:ascii="Calibri" w:hAnsi="Calibri" w:cs="Calibri"/>
          <w:sz w:val="20"/>
          <w:szCs w:val="20"/>
        </w:rPr>
        <w:t>analysed leading digital nomad destinations using publicly available data (2025–2026), scoring each country across six weighted criteria: visa accessibility and duration (25%), cost of living (20%), tax benefits on foreign income (20%), digital infrastructure (15%), lifestyle appeal (10%), and application ease (10%). Scores were combined to produce an Overall Score out of 100.</w:t>
      </w:r>
    </w:p>
    <w:p w14:paraId="28438216" w14:textId="77777777" w:rsidR="007C7ACC" w:rsidRPr="001D372E" w:rsidRDefault="007C7ACC" w:rsidP="007C7ACC">
      <w:pPr>
        <w:pStyle w:val="ListParagraph"/>
        <w:numPr>
          <w:ilvl w:val="0"/>
          <w:numId w:val="4"/>
        </w:numPr>
        <w:rPr>
          <w:rFonts w:ascii="Calibri" w:hAnsi="Calibri" w:cs="Calibri"/>
          <w:sz w:val="20"/>
          <w:szCs w:val="20"/>
        </w:rPr>
      </w:pPr>
      <w:r w:rsidRPr="001D372E">
        <w:rPr>
          <w:rFonts w:ascii="Calibri" w:hAnsi="Calibri" w:cs="Calibri"/>
          <w:sz w:val="20"/>
          <w:szCs w:val="20"/>
        </w:rPr>
        <w:lastRenderedPageBreak/>
        <w:t xml:space="preserve">Cost of living data is sourced from Numbeo (2026), visa requirements from ImmigrantInvest, VisaClick and CitizenRemote, and tax treatment from TaxesForExpats and BrightTax. </w:t>
      </w:r>
    </w:p>
    <w:p w14:paraId="625CFE6D" w14:textId="1361C4CA" w:rsidR="007C7ACC" w:rsidRPr="001D372E" w:rsidRDefault="007C7ACC" w:rsidP="007C7ACC">
      <w:pPr>
        <w:pStyle w:val="ListParagraph"/>
        <w:numPr>
          <w:ilvl w:val="0"/>
          <w:numId w:val="4"/>
        </w:numPr>
        <w:rPr>
          <w:rFonts w:ascii="Calibri" w:hAnsi="Calibri" w:cs="Calibri"/>
          <w:sz w:val="20"/>
          <w:szCs w:val="20"/>
        </w:rPr>
      </w:pPr>
      <w:r w:rsidRPr="001D372E">
        <w:rPr>
          <w:rFonts w:ascii="Calibri" w:hAnsi="Calibri" w:cs="Calibri"/>
          <w:sz w:val="20"/>
          <w:szCs w:val="20"/>
        </w:rPr>
        <w:t xml:space="preserve">All monetary figures are presented in GBP at a rate of £0.747 per USD (10 June 2026). </w:t>
      </w:r>
    </w:p>
    <w:p w14:paraId="7C94FFA4" w14:textId="0AFDD5A0" w:rsidR="001D372E" w:rsidRPr="001D372E" w:rsidRDefault="001D372E" w:rsidP="007C7ACC">
      <w:pPr>
        <w:pStyle w:val="ListParagraph"/>
        <w:numPr>
          <w:ilvl w:val="0"/>
          <w:numId w:val="4"/>
        </w:numPr>
        <w:rPr>
          <w:rFonts w:ascii="Calibri" w:hAnsi="Calibri" w:cs="Calibri"/>
          <w:sz w:val="20"/>
          <w:szCs w:val="20"/>
        </w:rPr>
      </w:pPr>
      <w:r w:rsidRPr="001D372E">
        <w:rPr>
          <w:rFonts w:ascii="Calibri" w:hAnsi="Calibri" w:cs="Calibri"/>
          <w:sz w:val="20"/>
          <w:szCs w:val="20"/>
        </w:rPr>
        <w:t>All scores represent editorial assessments based on publicly available information. Visa rules, income thresholds and living costs are subject to change.</w:t>
      </w:r>
    </w:p>
    <w:p w14:paraId="5A506B86" w14:textId="0810BD0E" w:rsidR="001D372E" w:rsidRPr="001D372E" w:rsidRDefault="001D372E" w:rsidP="007C7ACC">
      <w:pPr>
        <w:pStyle w:val="ListParagraph"/>
        <w:numPr>
          <w:ilvl w:val="0"/>
          <w:numId w:val="4"/>
        </w:numPr>
        <w:rPr>
          <w:rFonts w:ascii="Calibri" w:hAnsi="Calibri" w:cs="Calibri"/>
          <w:sz w:val="20"/>
          <w:szCs w:val="20"/>
        </w:rPr>
      </w:pPr>
      <w:r w:rsidRPr="001D372E">
        <w:rPr>
          <w:rFonts w:ascii="Calibri" w:hAnsi="Calibri" w:cs="Calibri"/>
          <w:sz w:val="20"/>
          <w:szCs w:val="20"/>
        </w:rPr>
        <w:t>All data is accurate as of June 2026.</w:t>
      </w:r>
    </w:p>
    <w:p w14:paraId="234DEFBD" w14:textId="7ABFC817" w:rsidR="004903EA" w:rsidRPr="004903EA" w:rsidRDefault="004903EA" w:rsidP="004903EA">
      <w:pPr>
        <w:rPr>
          <w:rFonts w:ascii="Calibri" w:hAnsi="Calibri" w:cs="Calibri"/>
          <w:i/>
          <w:iCs/>
          <w:sz w:val="20"/>
          <w:szCs w:val="20"/>
        </w:rPr>
      </w:pPr>
      <w:r w:rsidRPr="004903EA">
        <w:rPr>
          <w:rFonts w:ascii="Calibri" w:hAnsi="Calibri" w:cs="Calibri"/>
          <w:i/>
          <w:iCs/>
          <w:sz w:val="20"/>
          <w:szCs w:val="20"/>
        </w:rPr>
        <w:t xml:space="preserve">To view the full dataset and methodology, </w:t>
      </w:r>
      <w:hyperlink r:id="rId11" w:history="1">
        <w:r w:rsidRPr="004903EA">
          <w:rPr>
            <w:rStyle w:val="Hyperlink"/>
            <w:rFonts w:ascii="Calibri" w:hAnsi="Calibri" w:cs="Calibri"/>
            <w:b/>
            <w:bCs/>
            <w:i/>
            <w:iCs/>
            <w:sz w:val="20"/>
            <w:szCs w:val="20"/>
          </w:rPr>
          <w:t>view here</w:t>
        </w:r>
      </w:hyperlink>
      <w:r w:rsidRPr="004903EA">
        <w:rPr>
          <w:rFonts w:ascii="Calibri" w:hAnsi="Calibri" w:cs="Calibri"/>
          <w:i/>
          <w:iCs/>
          <w:sz w:val="20"/>
          <w:szCs w:val="20"/>
        </w:rPr>
        <w:t>.</w:t>
      </w:r>
    </w:p>
    <w:p w14:paraId="5E83E829" w14:textId="77777777" w:rsidR="00DC77A2" w:rsidRPr="00591E31" w:rsidRDefault="00DC77A2">
      <w:pPr>
        <w:rPr>
          <w:rFonts w:ascii="Calibri" w:hAnsi="Calibri" w:cs="Calibri"/>
          <w:sz w:val="22"/>
          <w:szCs w:val="22"/>
        </w:rPr>
      </w:pPr>
    </w:p>
    <w:sectPr w:rsidR="00DC77A2" w:rsidRPr="00591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34"/>
    <w:multiLevelType w:val="multilevel"/>
    <w:tmpl w:val="CBE6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8C0D7C"/>
    <w:multiLevelType w:val="hybridMultilevel"/>
    <w:tmpl w:val="B5DAE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945E9E"/>
    <w:multiLevelType w:val="hybridMultilevel"/>
    <w:tmpl w:val="4E36E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7441B8"/>
    <w:multiLevelType w:val="hybridMultilevel"/>
    <w:tmpl w:val="072EC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2199090">
    <w:abstractNumId w:val="0"/>
  </w:num>
  <w:num w:numId="2" w16cid:durableId="1180121320">
    <w:abstractNumId w:val="3"/>
  </w:num>
  <w:num w:numId="3" w16cid:durableId="742602653">
    <w:abstractNumId w:val="2"/>
  </w:num>
  <w:num w:numId="4" w16cid:durableId="1761296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5E"/>
    <w:rsid w:val="000D53A7"/>
    <w:rsid w:val="00120FB8"/>
    <w:rsid w:val="00124FF4"/>
    <w:rsid w:val="001302E4"/>
    <w:rsid w:val="0017199D"/>
    <w:rsid w:val="0018325E"/>
    <w:rsid w:val="001D372E"/>
    <w:rsid w:val="0022157F"/>
    <w:rsid w:val="002367EC"/>
    <w:rsid w:val="00236B61"/>
    <w:rsid w:val="00243EE6"/>
    <w:rsid w:val="00263059"/>
    <w:rsid w:val="0029073E"/>
    <w:rsid w:val="002A3937"/>
    <w:rsid w:val="002B3C97"/>
    <w:rsid w:val="00380AB4"/>
    <w:rsid w:val="003A7041"/>
    <w:rsid w:val="004903EA"/>
    <w:rsid w:val="004A0D42"/>
    <w:rsid w:val="004A6971"/>
    <w:rsid w:val="004C690A"/>
    <w:rsid w:val="0057020C"/>
    <w:rsid w:val="00585BAB"/>
    <w:rsid w:val="00591E31"/>
    <w:rsid w:val="005C3499"/>
    <w:rsid w:val="005D28A5"/>
    <w:rsid w:val="005D566A"/>
    <w:rsid w:val="0067777F"/>
    <w:rsid w:val="006A0DD9"/>
    <w:rsid w:val="00786CBC"/>
    <w:rsid w:val="007A244C"/>
    <w:rsid w:val="007A718A"/>
    <w:rsid w:val="007B1874"/>
    <w:rsid w:val="007C7ACC"/>
    <w:rsid w:val="00800405"/>
    <w:rsid w:val="00815805"/>
    <w:rsid w:val="00872FBB"/>
    <w:rsid w:val="008864CA"/>
    <w:rsid w:val="00892F1E"/>
    <w:rsid w:val="00930D16"/>
    <w:rsid w:val="00942188"/>
    <w:rsid w:val="00943FE7"/>
    <w:rsid w:val="00975576"/>
    <w:rsid w:val="009A165F"/>
    <w:rsid w:val="009C3D49"/>
    <w:rsid w:val="009E7BD8"/>
    <w:rsid w:val="009F36D1"/>
    <w:rsid w:val="00A626E9"/>
    <w:rsid w:val="00A84751"/>
    <w:rsid w:val="00AB6E16"/>
    <w:rsid w:val="00AC04C8"/>
    <w:rsid w:val="00B9085E"/>
    <w:rsid w:val="00BB3414"/>
    <w:rsid w:val="00BF47E5"/>
    <w:rsid w:val="00C27EEE"/>
    <w:rsid w:val="00D10C47"/>
    <w:rsid w:val="00D54257"/>
    <w:rsid w:val="00DA2B4B"/>
    <w:rsid w:val="00DC77A2"/>
    <w:rsid w:val="00DF3C5D"/>
    <w:rsid w:val="00E01AA4"/>
    <w:rsid w:val="00E268E5"/>
    <w:rsid w:val="00E706CE"/>
    <w:rsid w:val="00E9657C"/>
    <w:rsid w:val="00EB232C"/>
    <w:rsid w:val="00EC7619"/>
    <w:rsid w:val="00EF1C3D"/>
    <w:rsid w:val="00F219A8"/>
    <w:rsid w:val="00F56B96"/>
    <w:rsid w:val="00F57570"/>
    <w:rsid w:val="00F7067F"/>
    <w:rsid w:val="00FB4B60"/>
    <w:rsid w:val="00FC6816"/>
    <w:rsid w:val="00FF2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C2101"/>
  <w15:chartTrackingRefBased/>
  <w15:docId w15:val="{7A431855-AC37-4530-BCCD-B5EE0489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2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2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2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2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2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2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2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2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2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2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2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2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2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2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2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25E"/>
    <w:rPr>
      <w:rFonts w:eastAsiaTheme="majorEastAsia" w:cstheme="majorBidi"/>
      <w:color w:val="272727" w:themeColor="text1" w:themeTint="D8"/>
    </w:rPr>
  </w:style>
  <w:style w:type="paragraph" w:styleId="Title">
    <w:name w:val="Title"/>
    <w:basedOn w:val="Normal"/>
    <w:next w:val="Normal"/>
    <w:link w:val="TitleChar"/>
    <w:uiPriority w:val="10"/>
    <w:qFormat/>
    <w:rsid w:val="00183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2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2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25E"/>
    <w:pPr>
      <w:spacing w:before="160"/>
      <w:jc w:val="center"/>
    </w:pPr>
    <w:rPr>
      <w:i/>
      <w:iCs/>
      <w:color w:val="404040" w:themeColor="text1" w:themeTint="BF"/>
    </w:rPr>
  </w:style>
  <w:style w:type="character" w:customStyle="1" w:styleId="QuoteChar">
    <w:name w:val="Quote Char"/>
    <w:basedOn w:val="DefaultParagraphFont"/>
    <w:link w:val="Quote"/>
    <w:uiPriority w:val="29"/>
    <w:rsid w:val="0018325E"/>
    <w:rPr>
      <w:i/>
      <w:iCs/>
      <w:color w:val="404040" w:themeColor="text1" w:themeTint="BF"/>
    </w:rPr>
  </w:style>
  <w:style w:type="paragraph" w:styleId="ListParagraph">
    <w:name w:val="List Paragraph"/>
    <w:basedOn w:val="Normal"/>
    <w:uiPriority w:val="34"/>
    <w:qFormat/>
    <w:rsid w:val="0018325E"/>
    <w:pPr>
      <w:ind w:left="720"/>
      <w:contextualSpacing/>
    </w:pPr>
  </w:style>
  <w:style w:type="character" w:styleId="IntenseEmphasis">
    <w:name w:val="Intense Emphasis"/>
    <w:basedOn w:val="DefaultParagraphFont"/>
    <w:uiPriority w:val="21"/>
    <w:qFormat/>
    <w:rsid w:val="0018325E"/>
    <w:rPr>
      <w:i/>
      <w:iCs/>
      <w:color w:val="0F4761" w:themeColor="accent1" w:themeShade="BF"/>
    </w:rPr>
  </w:style>
  <w:style w:type="paragraph" w:styleId="IntenseQuote">
    <w:name w:val="Intense Quote"/>
    <w:basedOn w:val="Normal"/>
    <w:next w:val="Normal"/>
    <w:link w:val="IntenseQuoteChar"/>
    <w:uiPriority w:val="30"/>
    <w:qFormat/>
    <w:rsid w:val="00183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25E"/>
    <w:rPr>
      <w:i/>
      <w:iCs/>
      <w:color w:val="0F4761" w:themeColor="accent1" w:themeShade="BF"/>
    </w:rPr>
  </w:style>
  <w:style w:type="character" w:styleId="IntenseReference">
    <w:name w:val="Intense Reference"/>
    <w:basedOn w:val="DefaultParagraphFont"/>
    <w:uiPriority w:val="32"/>
    <w:qFormat/>
    <w:rsid w:val="0018325E"/>
    <w:rPr>
      <w:b/>
      <w:bCs/>
      <w:smallCaps/>
      <w:color w:val="0F4761" w:themeColor="accent1" w:themeShade="BF"/>
      <w:spacing w:val="5"/>
    </w:rPr>
  </w:style>
  <w:style w:type="table" w:styleId="TableGrid">
    <w:name w:val="Table Grid"/>
    <w:basedOn w:val="TableNormal"/>
    <w:uiPriority w:val="39"/>
    <w:rsid w:val="00B90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067F"/>
    <w:rPr>
      <w:color w:val="467886" w:themeColor="hyperlink"/>
      <w:u w:val="single"/>
    </w:rPr>
  </w:style>
  <w:style w:type="character" w:styleId="UnresolvedMention">
    <w:name w:val="Unresolved Mention"/>
    <w:basedOn w:val="DefaultParagraphFont"/>
    <w:uiPriority w:val="99"/>
    <w:semiHidden/>
    <w:unhideWhenUsed/>
    <w:rsid w:val="00F7067F"/>
    <w:rPr>
      <w:color w:val="605E5C"/>
      <w:shd w:val="clear" w:color="auto" w:fill="E1DFDD"/>
    </w:rPr>
  </w:style>
  <w:style w:type="paragraph" w:styleId="NormalWeb">
    <w:name w:val="Normal (Web)"/>
    <w:basedOn w:val="Normal"/>
    <w:uiPriority w:val="99"/>
    <w:semiHidden/>
    <w:unhideWhenUsed/>
    <w:rsid w:val="009A165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ileyrobinso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ropbox.com/scl/fi/scg0ogc6hu6w8gcxtlxlz/digital_nomad_dataset_GBP.xlsx?rlkey=1l5nzbhz5eesh5zjptfymzvyy&amp;st=1nvew0be&amp;dl=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ileyrobinson.com/" TargetMode="External"/><Relationship Id="rId11" Type="http://schemas.openxmlformats.org/officeDocument/2006/relationships/hyperlink" Target="https://www.dropbox.com/scl/fi/scg0ogc6hu6w8gcxtlxlz/digital_nomad_dataset_GBP.xlsx?rlkey=1l5nzbhz5eesh5zjptfymzvyy&amp;st=1nvew0be&amp;dl=0" TargetMode="External"/><Relationship Id="rId5" Type="http://schemas.openxmlformats.org/officeDocument/2006/relationships/hyperlink" Target="https://www.publicfirst.co.uk/digital-nomads-how-many-why-and-does-it-matter" TargetMode="External"/><Relationship Id="rId10" Type="http://schemas.openxmlformats.org/officeDocument/2006/relationships/hyperlink" Target="https://www.baileyrobinson.com/" TargetMode="External"/><Relationship Id="rId4" Type="http://schemas.openxmlformats.org/officeDocument/2006/relationships/webSettings" Target="webSettings.xml"/><Relationship Id="rId9" Type="http://schemas.openxmlformats.org/officeDocument/2006/relationships/hyperlink" Target="https://www.baileyrobin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1271</Words>
  <Characters>7245</Characters>
  <Application>Microsoft Office Word</Application>
  <DocSecurity>0</DocSecurity>
  <Lines>60</Lines>
  <Paragraphs>16</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Blumsum</dc:creator>
  <cp:keywords/>
  <dc:description/>
  <cp:lastModifiedBy>Meghan Blumsum</cp:lastModifiedBy>
  <cp:revision>69</cp:revision>
  <dcterms:created xsi:type="dcterms:W3CDTF">2026-06-10T16:09:00Z</dcterms:created>
  <dcterms:modified xsi:type="dcterms:W3CDTF">2026-07-16T09:06:00Z</dcterms:modified>
</cp:coreProperties>
</file>